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159C7" w14:textId="3115BD79" w:rsidR="0071029A" w:rsidRPr="005E6C42" w:rsidRDefault="0071029A">
      <w:pPr>
        <w:shd w:val="clear" w:color="auto" w:fill="BFBFBF"/>
        <w:jc w:val="center"/>
        <w:rPr>
          <w:sz w:val="28"/>
          <w:szCs w:val="28"/>
        </w:rPr>
      </w:pPr>
      <w:bookmarkStart w:id="0" w:name="_Hlk152587249"/>
      <w:r w:rsidRPr="005E6C42">
        <w:rPr>
          <w:b/>
          <w:sz w:val="28"/>
          <w:szCs w:val="28"/>
        </w:rPr>
        <w:t>Assembleia Geral Nacional Unificada – AGNU</w:t>
      </w:r>
      <w:r w:rsidRPr="005E6C42">
        <w:rPr>
          <w:b/>
          <w:sz w:val="28"/>
          <w:szCs w:val="28"/>
        </w:rPr>
        <w:br/>
      </w:r>
      <w:r w:rsidR="001C051A" w:rsidRPr="005E6C42">
        <w:rPr>
          <w:b/>
          <w:sz w:val="28"/>
          <w:szCs w:val="28"/>
        </w:rPr>
        <w:t>9 a 1</w:t>
      </w:r>
      <w:r w:rsidR="000006E3">
        <w:rPr>
          <w:b/>
          <w:sz w:val="28"/>
          <w:szCs w:val="28"/>
        </w:rPr>
        <w:t>3</w:t>
      </w:r>
      <w:r w:rsidR="001C051A" w:rsidRPr="005E6C42">
        <w:rPr>
          <w:b/>
          <w:sz w:val="28"/>
          <w:szCs w:val="28"/>
        </w:rPr>
        <w:t xml:space="preserve"> de maio de 2025</w:t>
      </w:r>
    </w:p>
    <w:p w14:paraId="1D7457A8" w14:textId="77777777" w:rsidR="0085696E" w:rsidRPr="005E6C42" w:rsidRDefault="0085696E" w:rsidP="00BB019A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6DBF2910" w14:textId="0EB7D781" w:rsidR="00DD782C" w:rsidRPr="005E6C42" w:rsidRDefault="002A45FF" w:rsidP="00BB019A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EDITAL DE CONVOCAÇÃO</w:t>
      </w:r>
    </w:p>
    <w:p w14:paraId="48FAF20C" w14:textId="77777777" w:rsidR="00BB019A" w:rsidRPr="005E6C42" w:rsidRDefault="00DD782C" w:rsidP="00AA07CE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Assembleia Geral Nacional Unificada (AGNU)</w:t>
      </w:r>
    </w:p>
    <w:p w14:paraId="3D59950E" w14:textId="2783073C" w:rsidR="000B104D" w:rsidRPr="005E6C42" w:rsidRDefault="000B104D" w:rsidP="000B104D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 xml:space="preserve">das </w:t>
      </w:r>
      <w:r w:rsidR="00C83F1B">
        <w:rPr>
          <w:rFonts w:ascii="Times New Roman" w:hAnsi="Times New Roman" w:cs="Times New Roman"/>
          <w:b/>
        </w:rPr>
        <w:t>10</w:t>
      </w:r>
      <w:r w:rsidRPr="005E6C42">
        <w:rPr>
          <w:rFonts w:ascii="Times New Roman" w:hAnsi="Times New Roman" w:cs="Times New Roman"/>
          <w:b/>
        </w:rPr>
        <w:t xml:space="preserve">h do dia </w:t>
      </w:r>
      <w:r w:rsidR="001C051A" w:rsidRPr="005E6C42">
        <w:rPr>
          <w:rFonts w:ascii="Times New Roman" w:hAnsi="Times New Roman" w:cs="Times New Roman"/>
          <w:b/>
        </w:rPr>
        <w:t>9</w:t>
      </w:r>
      <w:r w:rsidR="00630E11" w:rsidRPr="005E6C42">
        <w:rPr>
          <w:rFonts w:ascii="Times New Roman" w:hAnsi="Times New Roman" w:cs="Times New Roman"/>
          <w:b/>
        </w:rPr>
        <w:t xml:space="preserve"> </w:t>
      </w:r>
      <w:r w:rsidRPr="005E6C42">
        <w:rPr>
          <w:rFonts w:ascii="Times New Roman" w:hAnsi="Times New Roman" w:cs="Times New Roman"/>
          <w:b/>
        </w:rPr>
        <w:t xml:space="preserve">às </w:t>
      </w:r>
      <w:r w:rsidR="000006E3">
        <w:rPr>
          <w:rFonts w:ascii="Times New Roman" w:hAnsi="Times New Roman" w:cs="Times New Roman"/>
          <w:b/>
        </w:rPr>
        <w:t>18</w:t>
      </w:r>
      <w:r w:rsidRPr="005E6C42">
        <w:rPr>
          <w:rFonts w:ascii="Times New Roman" w:hAnsi="Times New Roman" w:cs="Times New Roman"/>
          <w:b/>
        </w:rPr>
        <w:t xml:space="preserve">h do dia </w:t>
      </w:r>
      <w:r w:rsidR="001C051A" w:rsidRPr="005E6C42">
        <w:rPr>
          <w:rFonts w:ascii="Times New Roman" w:hAnsi="Times New Roman" w:cs="Times New Roman"/>
          <w:b/>
        </w:rPr>
        <w:t>1</w:t>
      </w:r>
      <w:r w:rsidR="000006E3">
        <w:rPr>
          <w:rFonts w:ascii="Times New Roman" w:hAnsi="Times New Roman" w:cs="Times New Roman"/>
          <w:b/>
        </w:rPr>
        <w:t>3</w:t>
      </w:r>
      <w:r w:rsidRPr="005E6C42">
        <w:rPr>
          <w:rFonts w:ascii="Times New Roman" w:hAnsi="Times New Roman" w:cs="Times New Roman"/>
          <w:b/>
        </w:rPr>
        <w:t xml:space="preserve"> de </w:t>
      </w:r>
      <w:r w:rsidR="001C051A" w:rsidRPr="005E6C42">
        <w:rPr>
          <w:rFonts w:ascii="Times New Roman" w:hAnsi="Times New Roman" w:cs="Times New Roman"/>
          <w:b/>
        </w:rPr>
        <w:t xml:space="preserve">maio </w:t>
      </w:r>
      <w:r w:rsidRPr="005E6C42">
        <w:rPr>
          <w:rFonts w:ascii="Times New Roman" w:hAnsi="Times New Roman" w:cs="Times New Roman"/>
          <w:b/>
        </w:rPr>
        <w:t>de 2025</w:t>
      </w:r>
    </w:p>
    <w:p w14:paraId="31332101" w14:textId="77777777" w:rsidR="00AA07CE" w:rsidRPr="005E6C42" w:rsidRDefault="00AA07CE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DA234EA" w14:textId="37DE5832" w:rsidR="00C10F9E" w:rsidRPr="005E6C42" w:rsidRDefault="002A45FF" w:rsidP="002A45FF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O presidente da Diretoria Executiva Nacional (DEN) do Sindicato Nacional dos Analistas-Tributários da Receita Federal do Brasil (Sindireceita), no uso de suas atribuições estatutárias contidas no artigo 74, inciso X e no artigo 73, inciso VIII, em conjunto com o presidente do Conselho Nacional de Representantes Estaduais do Sindicato Nacional dos Analistas-Tributários da Receita Federal do Brasil (CNRE) no uso de suas atribuições estatutárias contidas no artigo 71, inciso V, </w:t>
      </w:r>
      <w:r w:rsidRPr="005E6C42">
        <w:rPr>
          <w:rFonts w:ascii="Times New Roman" w:hAnsi="Times New Roman" w:cs="Times New Roman"/>
          <w:b/>
        </w:rPr>
        <w:t>CONVOCAM</w:t>
      </w:r>
      <w:r w:rsidRPr="005E6C42">
        <w:rPr>
          <w:rFonts w:ascii="Times New Roman" w:hAnsi="Times New Roman" w:cs="Times New Roman"/>
          <w:bCs/>
        </w:rPr>
        <w:t xml:space="preserve"> a base de filiados ao Sindireceita, nos termos do que reza o artigo 14, § 2º do Estatuto, a comparecer à Assembleia Geral Nacional Unificada (AGNU), a realizar-se </w:t>
      </w:r>
      <w:r w:rsidRPr="005E6C42">
        <w:rPr>
          <w:rFonts w:ascii="Times New Roman" w:hAnsi="Times New Roman" w:cs="Times New Roman"/>
          <w:b/>
          <w:u w:val="single"/>
        </w:rPr>
        <w:t xml:space="preserve">das </w:t>
      </w:r>
      <w:r w:rsidR="00C83F1B">
        <w:rPr>
          <w:rFonts w:ascii="Times New Roman" w:hAnsi="Times New Roman" w:cs="Times New Roman"/>
          <w:b/>
          <w:u w:val="single"/>
        </w:rPr>
        <w:t>10</w:t>
      </w:r>
      <w:r w:rsidRPr="005E6C42">
        <w:rPr>
          <w:rFonts w:ascii="Times New Roman" w:hAnsi="Times New Roman" w:cs="Times New Roman"/>
          <w:b/>
          <w:u w:val="single"/>
        </w:rPr>
        <w:t xml:space="preserve">h do dia </w:t>
      </w:r>
      <w:r w:rsidR="00B005DA" w:rsidRPr="005E6C42">
        <w:rPr>
          <w:rFonts w:ascii="Times New Roman" w:hAnsi="Times New Roman" w:cs="Times New Roman"/>
          <w:b/>
          <w:u w:val="single"/>
        </w:rPr>
        <w:t xml:space="preserve">9 </w:t>
      </w:r>
      <w:r w:rsidRPr="005E6C42">
        <w:rPr>
          <w:rFonts w:ascii="Times New Roman" w:hAnsi="Times New Roman" w:cs="Times New Roman"/>
          <w:b/>
          <w:u w:val="single"/>
        </w:rPr>
        <w:t xml:space="preserve">às </w:t>
      </w:r>
      <w:r w:rsidR="000006E3">
        <w:rPr>
          <w:rFonts w:ascii="Times New Roman" w:hAnsi="Times New Roman" w:cs="Times New Roman"/>
          <w:b/>
          <w:u w:val="single"/>
        </w:rPr>
        <w:t>18</w:t>
      </w:r>
      <w:r w:rsidRPr="005E6C42">
        <w:rPr>
          <w:rFonts w:ascii="Times New Roman" w:hAnsi="Times New Roman" w:cs="Times New Roman"/>
          <w:b/>
          <w:u w:val="single"/>
        </w:rPr>
        <w:t xml:space="preserve">h do dia </w:t>
      </w:r>
      <w:r w:rsidR="00B005DA" w:rsidRPr="005E6C42">
        <w:rPr>
          <w:rFonts w:ascii="Times New Roman" w:hAnsi="Times New Roman" w:cs="Times New Roman"/>
          <w:b/>
          <w:u w:val="single"/>
        </w:rPr>
        <w:t>1</w:t>
      </w:r>
      <w:r w:rsidR="000006E3">
        <w:rPr>
          <w:rFonts w:ascii="Times New Roman" w:hAnsi="Times New Roman" w:cs="Times New Roman"/>
          <w:b/>
          <w:u w:val="single"/>
        </w:rPr>
        <w:t>3</w:t>
      </w:r>
      <w:r w:rsidRPr="005E6C42">
        <w:rPr>
          <w:rFonts w:ascii="Times New Roman" w:hAnsi="Times New Roman" w:cs="Times New Roman"/>
          <w:b/>
          <w:u w:val="single"/>
        </w:rPr>
        <w:t xml:space="preserve"> de </w:t>
      </w:r>
      <w:r w:rsidR="00B005DA" w:rsidRPr="005E6C42">
        <w:rPr>
          <w:rFonts w:ascii="Times New Roman" w:hAnsi="Times New Roman" w:cs="Times New Roman"/>
          <w:b/>
          <w:u w:val="single"/>
        </w:rPr>
        <w:t xml:space="preserve">maio </w:t>
      </w:r>
      <w:r w:rsidRPr="005E6C42">
        <w:rPr>
          <w:rFonts w:ascii="Times New Roman" w:hAnsi="Times New Roman" w:cs="Times New Roman"/>
          <w:b/>
          <w:u w:val="single"/>
        </w:rPr>
        <w:t>de 202</w:t>
      </w:r>
      <w:r w:rsidR="00C10F9E" w:rsidRPr="005E6C42">
        <w:rPr>
          <w:rFonts w:ascii="Times New Roman" w:hAnsi="Times New Roman" w:cs="Times New Roman"/>
          <w:b/>
          <w:u w:val="single"/>
        </w:rPr>
        <w:t>5</w:t>
      </w:r>
      <w:r w:rsidR="00C10F9E" w:rsidRPr="005E6C42">
        <w:rPr>
          <w:rFonts w:ascii="Times New Roman" w:hAnsi="Times New Roman" w:cs="Times New Roman"/>
          <w:bCs/>
        </w:rPr>
        <w:t>.</w:t>
      </w:r>
    </w:p>
    <w:p w14:paraId="2DE92AB2" w14:textId="5BA8C61B" w:rsidR="008B5F25" w:rsidRPr="005E6C42" w:rsidRDefault="008B5F25" w:rsidP="00D1679F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As Delegacias Sindicais, </w:t>
      </w:r>
      <w:r w:rsidRPr="005E6C42">
        <w:rPr>
          <w:rFonts w:ascii="Times New Roman" w:hAnsi="Times New Roman" w:cs="Times New Roman"/>
          <w:b/>
          <w:u w:val="single"/>
        </w:rPr>
        <w:t>respeitando as suas respectivas circunscrições</w:t>
      </w:r>
      <w:r w:rsidRPr="005E6C42">
        <w:rPr>
          <w:rFonts w:ascii="Times New Roman" w:hAnsi="Times New Roman" w:cs="Times New Roman"/>
          <w:bCs/>
        </w:rPr>
        <w:t xml:space="preserve">, poderão realizar as respectivas assembleias nas modalidades presencial ou telepresencial (Resolução DEN nº 1/2021, referendada pela XVI AGN), devendo cada Edital Complementar ser divulgado por meio do sistema de assembleias, disponível no sítio </w:t>
      </w:r>
      <w:r w:rsidR="00C46BCC" w:rsidRPr="005E6C42">
        <w:rPr>
          <w:rFonts w:ascii="Times New Roman" w:hAnsi="Times New Roman" w:cs="Times New Roman"/>
          <w:bCs/>
        </w:rPr>
        <w:t>https://legado.sindireceita.org.br/eventos</w:t>
      </w:r>
      <w:r w:rsidRPr="005E6C42">
        <w:rPr>
          <w:rFonts w:ascii="Times New Roman" w:hAnsi="Times New Roman" w:cs="Times New Roman"/>
          <w:bCs/>
        </w:rPr>
        <w:t>, indicando a(s) data(s) e o(s) horário(s) de realização, bem como o(s) local(</w:t>
      </w:r>
      <w:proofErr w:type="spellStart"/>
      <w:r w:rsidRPr="005E6C42">
        <w:rPr>
          <w:rFonts w:ascii="Times New Roman" w:hAnsi="Times New Roman" w:cs="Times New Roman"/>
          <w:bCs/>
        </w:rPr>
        <w:t>is</w:t>
      </w:r>
      <w:proofErr w:type="spellEnd"/>
      <w:r w:rsidRPr="005E6C42">
        <w:rPr>
          <w:rFonts w:ascii="Times New Roman" w:hAnsi="Times New Roman" w:cs="Times New Roman"/>
          <w:bCs/>
        </w:rPr>
        <w:t>), para a modalidade presencial, para deliberar, nos termos do que determina o artigo 70, incisos I e IV, do Estatuto, sobre a pauta que segue:</w:t>
      </w:r>
    </w:p>
    <w:p w14:paraId="04091C1F" w14:textId="70419A80" w:rsidR="00D1679F" w:rsidRPr="005E6C42" w:rsidRDefault="00D1679F" w:rsidP="001F2BB9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ind w:left="714" w:hanging="357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Regime Permanente de Assembleia Geral Nacional Unificada;</w:t>
      </w:r>
      <w:r w:rsidR="00593551"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e</w:t>
      </w:r>
    </w:p>
    <w:p w14:paraId="32B145F7" w14:textId="01B74722" w:rsidR="00D1679F" w:rsidRPr="005E6C42" w:rsidRDefault="00E74789" w:rsidP="00BA2946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ind w:left="714" w:hanging="357"/>
        <w:jc w:val="both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Mobilização </w:t>
      </w:r>
      <w:r w:rsidR="006233BF"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pela Instalação de Mesa Específica de Negociação entre o Governo Federal e a categoria dos ATRFB</w:t>
      </w:r>
      <w:r w:rsidR="00406835"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.</w:t>
      </w:r>
    </w:p>
    <w:p w14:paraId="57AEED1B" w14:textId="7C0AD154" w:rsidR="00FA164E" w:rsidRPr="005E6C42" w:rsidRDefault="001F2BB9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Nos termos da Resolução nº 16/2023 do L</w:t>
      </w:r>
      <w:r w:rsidR="003512CE" w:rsidRPr="005E6C42">
        <w:rPr>
          <w:rFonts w:ascii="Times New Roman" w:hAnsi="Times New Roman" w:cs="Times New Roman"/>
          <w:bCs/>
        </w:rPr>
        <w:t>X</w:t>
      </w:r>
      <w:r w:rsidRPr="005E6C42">
        <w:rPr>
          <w:rFonts w:ascii="Times New Roman" w:hAnsi="Times New Roman" w:cs="Times New Roman"/>
          <w:bCs/>
        </w:rPr>
        <w:t xml:space="preserve">XXIII CNRE, as Assembleias Complementares das delegacias sindicais deverão ocorrer, obrigatoriamente, </w:t>
      </w:r>
      <w:r w:rsidRPr="005E6C42">
        <w:rPr>
          <w:rFonts w:ascii="Times New Roman" w:hAnsi="Times New Roman" w:cs="Times New Roman"/>
          <w:b/>
          <w:u w:val="single"/>
        </w:rPr>
        <w:t xml:space="preserve">das </w:t>
      </w:r>
      <w:r w:rsidR="00C83F1B">
        <w:rPr>
          <w:rFonts w:ascii="Times New Roman" w:hAnsi="Times New Roman" w:cs="Times New Roman"/>
          <w:b/>
          <w:u w:val="single"/>
        </w:rPr>
        <w:t>10</w:t>
      </w:r>
      <w:r w:rsidRPr="005E6C42">
        <w:rPr>
          <w:rFonts w:ascii="Times New Roman" w:hAnsi="Times New Roman" w:cs="Times New Roman"/>
          <w:b/>
          <w:u w:val="single"/>
        </w:rPr>
        <w:t xml:space="preserve">h do dia </w:t>
      </w:r>
      <w:r w:rsidR="005213A1" w:rsidRPr="005E6C42">
        <w:rPr>
          <w:rFonts w:ascii="Times New Roman" w:hAnsi="Times New Roman" w:cs="Times New Roman"/>
          <w:b/>
          <w:u w:val="single"/>
        </w:rPr>
        <w:t>9</w:t>
      </w:r>
      <w:r w:rsidR="007124D5" w:rsidRPr="005E6C42">
        <w:rPr>
          <w:rFonts w:ascii="Times New Roman" w:hAnsi="Times New Roman" w:cs="Times New Roman"/>
          <w:b/>
          <w:u w:val="single"/>
        </w:rPr>
        <w:t xml:space="preserve"> </w:t>
      </w:r>
      <w:r w:rsidRPr="005E6C42">
        <w:rPr>
          <w:rFonts w:ascii="Times New Roman" w:hAnsi="Times New Roman" w:cs="Times New Roman"/>
          <w:b/>
          <w:u w:val="single"/>
        </w:rPr>
        <w:t xml:space="preserve">às </w:t>
      </w:r>
      <w:r w:rsidR="000006E3">
        <w:rPr>
          <w:rFonts w:ascii="Times New Roman" w:hAnsi="Times New Roman" w:cs="Times New Roman"/>
          <w:b/>
          <w:u w:val="single"/>
        </w:rPr>
        <w:t>18</w:t>
      </w:r>
      <w:r w:rsidRPr="005E6C42">
        <w:rPr>
          <w:rFonts w:ascii="Times New Roman" w:hAnsi="Times New Roman" w:cs="Times New Roman"/>
          <w:b/>
          <w:u w:val="single"/>
        </w:rPr>
        <w:t xml:space="preserve">h do </w:t>
      </w:r>
      <w:r w:rsidR="007124D5" w:rsidRPr="005E6C42">
        <w:rPr>
          <w:rFonts w:ascii="Times New Roman" w:hAnsi="Times New Roman" w:cs="Times New Roman"/>
          <w:b/>
          <w:u w:val="single"/>
        </w:rPr>
        <w:t>1</w:t>
      </w:r>
      <w:r w:rsidR="000006E3">
        <w:rPr>
          <w:rFonts w:ascii="Times New Roman" w:hAnsi="Times New Roman" w:cs="Times New Roman"/>
          <w:b/>
          <w:u w:val="single"/>
        </w:rPr>
        <w:t>3</w:t>
      </w:r>
      <w:r w:rsidRPr="005E6C42">
        <w:rPr>
          <w:rFonts w:ascii="Times New Roman" w:hAnsi="Times New Roman" w:cs="Times New Roman"/>
          <w:b/>
          <w:u w:val="single"/>
        </w:rPr>
        <w:t xml:space="preserve"> de </w:t>
      </w:r>
      <w:r w:rsidR="007124D5" w:rsidRPr="005E6C42">
        <w:rPr>
          <w:rFonts w:ascii="Times New Roman" w:hAnsi="Times New Roman" w:cs="Times New Roman"/>
          <w:b/>
          <w:u w:val="single"/>
        </w:rPr>
        <w:t>maio</w:t>
      </w:r>
      <w:r w:rsidR="007D1F4D" w:rsidRPr="005E6C42">
        <w:rPr>
          <w:rFonts w:ascii="Times New Roman" w:hAnsi="Times New Roman" w:cs="Times New Roman"/>
          <w:b/>
          <w:u w:val="single"/>
        </w:rPr>
        <w:t xml:space="preserve"> </w:t>
      </w:r>
      <w:r w:rsidRPr="005E6C42">
        <w:rPr>
          <w:rFonts w:ascii="Times New Roman" w:hAnsi="Times New Roman" w:cs="Times New Roman"/>
          <w:b/>
          <w:u w:val="single"/>
        </w:rPr>
        <w:t>de 202</w:t>
      </w:r>
      <w:r w:rsidR="003A6BAC" w:rsidRPr="005E6C42">
        <w:rPr>
          <w:rFonts w:ascii="Times New Roman" w:hAnsi="Times New Roman" w:cs="Times New Roman"/>
          <w:b/>
          <w:u w:val="single"/>
        </w:rPr>
        <w:t>5</w:t>
      </w:r>
      <w:r w:rsidRPr="005E6C42">
        <w:rPr>
          <w:rFonts w:ascii="Times New Roman" w:hAnsi="Times New Roman" w:cs="Times New Roman"/>
          <w:bCs/>
        </w:rPr>
        <w:t xml:space="preserve">, em face do caráter urgente da AGNU decorrente </w:t>
      </w:r>
      <w:r w:rsidR="00703557" w:rsidRPr="005E6C42">
        <w:rPr>
          <w:rFonts w:ascii="Times New Roman" w:hAnsi="Times New Roman" w:cs="Times New Roman"/>
          <w:bCs/>
        </w:rPr>
        <w:t>das discussões efetuadas no Congresso Nacional em torno do reajuste salarial dos servidores públicos do Executivo Federal (</w:t>
      </w:r>
      <w:r w:rsidR="00FA164E" w:rsidRPr="005E6C42">
        <w:rPr>
          <w:rFonts w:ascii="Times New Roman" w:hAnsi="Times New Roman" w:cs="Times New Roman"/>
          <w:bCs/>
        </w:rPr>
        <w:t>MP</w:t>
      </w:r>
      <w:r w:rsidR="00F15E7A" w:rsidRPr="005E6C42">
        <w:rPr>
          <w:rFonts w:ascii="Times New Roman" w:hAnsi="Times New Roman" w:cs="Times New Roman"/>
          <w:bCs/>
        </w:rPr>
        <w:t xml:space="preserve"> </w:t>
      </w:r>
      <w:r w:rsidR="00703557" w:rsidRPr="005E6C42">
        <w:rPr>
          <w:rFonts w:ascii="Times New Roman" w:hAnsi="Times New Roman" w:cs="Times New Roman"/>
          <w:bCs/>
        </w:rPr>
        <w:t>1286/2024</w:t>
      </w:r>
      <w:r w:rsidR="00FA164E" w:rsidRPr="005E6C42">
        <w:rPr>
          <w:rFonts w:ascii="Times New Roman" w:hAnsi="Times New Roman" w:cs="Times New Roman"/>
          <w:bCs/>
        </w:rPr>
        <w:t xml:space="preserve"> e PL1466/2025</w:t>
      </w:r>
      <w:r w:rsidR="00703557" w:rsidRPr="005E6C42">
        <w:rPr>
          <w:rFonts w:ascii="Times New Roman" w:hAnsi="Times New Roman" w:cs="Times New Roman"/>
          <w:bCs/>
        </w:rPr>
        <w:t>)</w:t>
      </w:r>
      <w:r w:rsidR="00A021A3" w:rsidRPr="005E6C42">
        <w:rPr>
          <w:rFonts w:ascii="Times New Roman" w:hAnsi="Times New Roman" w:cs="Times New Roman"/>
          <w:bCs/>
        </w:rPr>
        <w:t xml:space="preserve"> e da reunião convocada pela SRT/MGI para o próximo dia 14 de maio</w:t>
      </w:r>
      <w:r w:rsidR="00A2602E" w:rsidRPr="005E6C42">
        <w:rPr>
          <w:rFonts w:ascii="Times New Roman" w:hAnsi="Times New Roman" w:cs="Times New Roman"/>
          <w:bCs/>
        </w:rPr>
        <w:t>, com participação do Sindireceita.</w:t>
      </w:r>
    </w:p>
    <w:p w14:paraId="54399EFA" w14:textId="387D2489" w:rsidR="00124252" w:rsidRPr="005E6C42" w:rsidRDefault="001F2BB9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lastRenderedPageBreak/>
        <w:t>.</w:t>
      </w:r>
      <w:r w:rsidR="005213A1" w:rsidRPr="005E6C42">
        <w:rPr>
          <w:rFonts w:ascii="Times New Roman" w:hAnsi="Times New Roman" w:cs="Times New Roman"/>
          <w:bCs/>
        </w:rPr>
        <w:br/>
      </w:r>
      <w:r w:rsidR="005213A1" w:rsidRPr="005E6C42">
        <w:rPr>
          <w:rFonts w:ascii="Times New Roman" w:hAnsi="Times New Roman" w:cs="Times New Roman"/>
          <w:bCs/>
        </w:rPr>
        <w:br/>
      </w:r>
      <w:r w:rsidR="00A2602E" w:rsidRPr="005E6C42">
        <w:rPr>
          <w:rFonts w:ascii="Times New Roman" w:hAnsi="Times New Roman" w:cs="Times New Roman"/>
          <w:bCs/>
        </w:rPr>
        <w:t xml:space="preserve">Ainda de acordo com </w:t>
      </w:r>
      <w:r w:rsidR="005213A1" w:rsidRPr="005E6C42">
        <w:rPr>
          <w:rFonts w:ascii="Times New Roman" w:hAnsi="Times New Roman" w:cs="Times New Roman"/>
          <w:bCs/>
        </w:rPr>
        <w:t>a Resolução nº 16/2023 do LXXIII CNRE, face a</w:t>
      </w:r>
      <w:r w:rsidR="00A2602E" w:rsidRPr="005E6C42">
        <w:rPr>
          <w:rFonts w:ascii="Times New Roman" w:hAnsi="Times New Roman" w:cs="Times New Roman"/>
          <w:bCs/>
        </w:rPr>
        <w:t xml:space="preserve"> </w:t>
      </w:r>
      <w:r w:rsidR="005213A1" w:rsidRPr="005E6C42">
        <w:rPr>
          <w:rFonts w:ascii="Times New Roman" w:hAnsi="Times New Roman" w:cs="Times New Roman"/>
          <w:bCs/>
        </w:rPr>
        <w:t xml:space="preserve">urgência </w:t>
      </w:r>
      <w:r w:rsidR="00E2623C" w:rsidRPr="005E6C42">
        <w:rPr>
          <w:rFonts w:ascii="Times New Roman" w:hAnsi="Times New Roman" w:cs="Times New Roman"/>
          <w:bCs/>
        </w:rPr>
        <w:t xml:space="preserve">de medidas para a instauração de </w:t>
      </w:r>
      <w:r w:rsidR="005213A1" w:rsidRPr="005E6C42">
        <w:rPr>
          <w:rFonts w:ascii="Times New Roman" w:hAnsi="Times New Roman" w:cs="Times New Roman"/>
          <w:bCs/>
        </w:rPr>
        <w:t>Mesa</w:t>
      </w:r>
      <w:r w:rsidR="00E2623C" w:rsidRPr="005E6C42">
        <w:rPr>
          <w:rFonts w:ascii="Times New Roman" w:hAnsi="Times New Roman" w:cs="Times New Roman"/>
          <w:bCs/>
        </w:rPr>
        <w:t xml:space="preserve"> </w:t>
      </w:r>
      <w:r w:rsidR="005213A1" w:rsidRPr="005E6C42">
        <w:rPr>
          <w:rFonts w:ascii="Times New Roman" w:hAnsi="Times New Roman" w:cs="Times New Roman"/>
          <w:bCs/>
        </w:rPr>
        <w:t xml:space="preserve">Específica </w:t>
      </w:r>
      <w:r w:rsidR="00E2623C" w:rsidRPr="005E6C42">
        <w:rPr>
          <w:rFonts w:ascii="Times New Roman" w:hAnsi="Times New Roman" w:cs="Times New Roman"/>
          <w:bCs/>
        </w:rPr>
        <w:t xml:space="preserve">de Negociação com a categoria, </w:t>
      </w:r>
      <w:r w:rsidR="005213A1" w:rsidRPr="005E6C42">
        <w:rPr>
          <w:rFonts w:ascii="Times New Roman" w:hAnsi="Times New Roman" w:cs="Times New Roman"/>
          <w:b/>
          <w:u w:val="single"/>
        </w:rPr>
        <w:t>a votação deverá ser realizada</w:t>
      </w:r>
      <w:r w:rsidR="006A7439" w:rsidRPr="005E6C42">
        <w:rPr>
          <w:rFonts w:ascii="Times New Roman" w:hAnsi="Times New Roman" w:cs="Times New Roman"/>
          <w:b/>
          <w:u w:val="single"/>
        </w:rPr>
        <w:t xml:space="preserve"> </w:t>
      </w:r>
      <w:r w:rsidR="005213A1" w:rsidRPr="005E6C42">
        <w:rPr>
          <w:rFonts w:ascii="Times New Roman" w:hAnsi="Times New Roman" w:cs="Times New Roman"/>
          <w:b/>
          <w:u w:val="single"/>
        </w:rPr>
        <w:t>simultaneamente à realização das AGNU Complementares</w:t>
      </w:r>
      <w:r w:rsidR="005213A1" w:rsidRPr="005E6C42">
        <w:rPr>
          <w:rFonts w:ascii="Times New Roman" w:hAnsi="Times New Roman" w:cs="Times New Roman"/>
          <w:bCs/>
        </w:rPr>
        <w:t>, por</w:t>
      </w:r>
      <w:r w:rsidR="006A7439" w:rsidRPr="005E6C42">
        <w:rPr>
          <w:rFonts w:ascii="Times New Roman" w:hAnsi="Times New Roman" w:cs="Times New Roman"/>
          <w:bCs/>
        </w:rPr>
        <w:t xml:space="preserve"> </w:t>
      </w:r>
      <w:r w:rsidR="005213A1" w:rsidRPr="005E6C42">
        <w:rPr>
          <w:rFonts w:ascii="Times New Roman" w:hAnsi="Times New Roman" w:cs="Times New Roman"/>
          <w:bCs/>
        </w:rPr>
        <w:t xml:space="preserve">meio do </w:t>
      </w:r>
      <w:r w:rsidR="005213A1" w:rsidRPr="005E6C42">
        <w:rPr>
          <w:rFonts w:ascii="Times New Roman" w:hAnsi="Times New Roman" w:cs="Times New Roman"/>
          <w:b/>
          <w:u w:val="single"/>
        </w:rPr>
        <w:t>sistema eletrônico de votações do Sindireceita, que</w:t>
      </w:r>
      <w:r w:rsidR="006A7439" w:rsidRPr="005E6C42">
        <w:rPr>
          <w:rFonts w:ascii="Times New Roman" w:hAnsi="Times New Roman" w:cs="Times New Roman"/>
          <w:b/>
          <w:u w:val="single"/>
        </w:rPr>
        <w:t xml:space="preserve"> </w:t>
      </w:r>
      <w:r w:rsidR="005213A1" w:rsidRPr="005E6C42">
        <w:rPr>
          <w:rFonts w:ascii="Times New Roman" w:hAnsi="Times New Roman" w:cs="Times New Roman"/>
          <w:b/>
          <w:u w:val="single"/>
        </w:rPr>
        <w:t xml:space="preserve">será aberto a partir das </w:t>
      </w:r>
      <w:r w:rsidR="00C83F1B">
        <w:rPr>
          <w:rFonts w:ascii="Times New Roman" w:hAnsi="Times New Roman" w:cs="Times New Roman"/>
          <w:b/>
          <w:u w:val="single"/>
        </w:rPr>
        <w:t>10</w:t>
      </w:r>
      <w:r w:rsidR="005213A1" w:rsidRPr="005E6C42">
        <w:rPr>
          <w:rFonts w:ascii="Times New Roman" w:hAnsi="Times New Roman" w:cs="Times New Roman"/>
          <w:b/>
          <w:u w:val="single"/>
        </w:rPr>
        <w:t xml:space="preserve">h do dia </w:t>
      </w:r>
      <w:r w:rsidR="006A7439" w:rsidRPr="005E6C42">
        <w:rPr>
          <w:rFonts w:ascii="Times New Roman" w:hAnsi="Times New Roman" w:cs="Times New Roman"/>
          <w:b/>
          <w:u w:val="single"/>
        </w:rPr>
        <w:t>9</w:t>
      </w:r>
      <w:r w:rsidR="00B2153A" w:rsidRPr="005E6C42">
        <w:rPr>
          <w:rFonts w:ascii="Times New Roman" w:hAnsi="Times New Roman" w:cs="Times New Roman"/>
          <w:b/>
          <w:u w:val="single"/>
        </w:rPr>
        <w:t xml:space="preserve"> de maio </w:t>
      </w:r>
      <w:r w:rsidR="005213A1" w:rsidRPr="005E6C42">
        <w:rPr>
          <w:rFonts w:ascii="Times New Roman" w:hAnsi="Times New Roman" w:cs="Times New Roman"/>
          <w:b/>
          <w:u w:val="single"/>
        </w:rPr>
        <w:t>e encerrado às</w:t>
      </w:r>
      <w:r w:rsidR="00B2153A" w:rsidRPr="005E6C42">
        <w:rPr>
          <w:rFonts w:ascii="Times New Roman" w:hAnsi="Times New Roman" w:cs="Times New Roman"/>
          <w:b/>
          <w:u w:val="single"/>
        </w:rPr>
        <w:t xml:space="preserve"> </w:t>
      </w:r>
      <w:r w:rsidR="000006E3">
        <w:rPr>
          <w:rFonts w:ascii="Times New Roman" w:hAnsi="Times New Roman" w:cs="Times New Roman"/>
          <w:b/>
          <w:u w:val="single"/>
        </w:rPr>
        <w:t>18</w:t>
      </w:r>
      <w:r w:rsidR="005213A1" w:rsidRPr="005E6C42">
        <w:rPr>
          <w:rFonts w:ascii="Times New Roman" w:hAnsi="Times New Roman" w:cs="Times New Roman"/>
          <w:b/>
          <w:u w:val="single"/>
        </w:rPr>
        <w:t>h</w:t>
      </w:r>
      <w:r w:rsidR="000006E3">
        <w:rPr>
          <w:rFonts w:ascii="Times New Roman" w:hAnsi="Times New Roman" w:cs="Times New Roman"/>
          <w:b/>
          <w:u w:val="single"/>
        </w:rPr>
        <w:t xml:space="preserve"> d</w:t>
      </w:r>
      <w:r w:rsidR="005213A1" w:rsidRPr="005E6C42">
        <w:rPr>
          <w:rFonts w:ascii="Times New Roman" w:hAnsi="Times New Roman" w:cs="Times New Roman"/>
          <w:b/>
          <w:u w:val="single"/>
        </w:rPr>
        <w:t xml:space="preserve">o dia </w:t>
      </w:r>
      <w:r w:rsidR="00B2153A" w:rsidRPr="005E6C42">
        <w:rPr>
          <w:rFonts w:ascii="Times New Roman" w:hAnsi="Times New Roman" w:cs="Times New Roman"/>
          <w:b/>
          <w:u w:val="single"/>
        </w:rPr>
        <w:t>1</w:t>
      </w:r>
      <w:r w:rsidR="007D0A5C">
        <w:rPr>
          <w:rFonts w:ascii="Times New Roman" w:hAnsi="Times New Roman" w:cs="Times New Roman"/>
          <w:b/>
          <w:u w:val="single"/>
        </w:rPr>
        <w:t>3</w:t>
      </w:r>
      <w:r w:rsidR="00B2153A" w:rsidRPr="005E6C42">
        <w:rPr>
          <w:rFonts w:ascii="Times New Roman" w:hAnsi="Times New Roman" w:cs="Times New Roman"/>
          <w:b/>
          <w:u w:val="single"/>
        </w:rPr>
        <w:t xml:space="preserve"> de maio de 2025</w:t>
      </w:r>
      <w:r w:rsidR="005213A1" w:rsidRPr="005E6C42">
        <w:rPr>
          <w:rFonts w:ascii="Times New Roman" w:hAnsi="Times New Roman" w:cs="Times New Roman"/>
          <w:bCs/>
        </w:rPr>
        <w:t>.</w:t>
      </w:r>
    </w:p>
    <w:p w14:paraId="38715F58" w14:textId="77777777" w:rsidR="00BB6FF8" w:rsidRPr="005E6C42" w:rsidRDefault="005139B4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decisão da Assembleia Geral Nacional Unificada (AGNU), como órgão máximo do Sindireceita,</w:t>
      </w:r>
      <w:r w:rsidR="00C24906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nos termos contidos no artigo 14, caput, do Estatuto, independentemente do comparecimento do total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filiados ao Sindireceita, obedecido o quórum mínimo de 10% (dez por cento) dos filiados ativos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 aposentados, nos termos do parágrafo único do art. 32 do Estatuto, implicará concordância tácita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ausentes com o resultado das deliberações.</w:t>
      </w:r>
    </w:p>
    <w:p w14:paraId="6840E040" w14:textId="6125A853" w:rsidR="005139B4" w:rsidRPr="005E6C42" w:rsidRDefault="005139B4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convocação e realização de AGNU complementar pelos Delegados Sindicais é obrigatória (art. 31,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§ 11º, do Estatuto do Sindireceita). A não realização de duas AGNU consecutivas sem a devida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justificativa implicará a aplicação de sanções à respectiva DS (artigo 31, § 14º, Estatuto).</w:t>
      </w:r>
    </w:p>
    <w:p w14:paraId="04C859A0" w14:textId="5B2310A1" w:rsidR="005139B4" w:rsidRPr="005E6C42" w:rsidRDefault="005139B4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Não sendo realizada a AGNU, a Delegacia Sindical deverá encaminhar memorando com justificativa</w:t>
      </w:r>
      <w:r w:rsidRPr="005E6C42">
        <w:rPr>
          <w:rFonts w:ascii="Times New Roman" w:hAnsi="Times New Roman" w:cs="Times New Roman"/>
          <w:bCs/>
        </w:rPr>
        <w:cr/>
      </w:r>
      <w:r w:rsidRPr="005E6C42">
        <w:rPr>
          <w:rFonts w:ascii="Times New Roman" w:hAnsi="Times New Roman" w:cs="Times New Roman"/>
          <w:b/>
          <w:u w:val="single"/>
        </w:rPr>
        <w:t xml:space="preserve">até às 18h do dia </w:t>
      </w:r>
      <w:r w:rsidR="00F93F51" w:rsidRPr="005E6C42">
        <w:rPr>
          <w:rFonts w:ascii="Times New Roman" w:hAnsi="Times New Roman" w:cs="Times New Roman"/>
          <w:b/>
          <w:u w:val="single"/>
        </w:rPr>
        <w:t>1</w:t>
      </w:r>
      <w:r w:rsidR="00F360AA">
        <w:rPr>
          <w:rFonts w:ascii="Times New Roman" w:hAnsi="Times New Roman" w:cs="Times New Roman"/>
          <w:b/>
          <w:u w:val="single"/>
        </w:rPr>
        <w:t>6</w:t>
      </w:r>
      <w:r w:rsidRPr="005E6C42">
        <w:rPr>
          <w:rFonts w:ascii="Times New Roman" w:hAnsi="Times New Roman" w:cs="Times New Roman"/>
          <w:b/>
          <w:u w:val="single"/>
        </w:rPr>
        <w:t xml:space="preserve"> de </w:t>
      </w:r>
      <w:r w:rsidR="003445F0" w:rsidRPr="005E6C42">
        <w:rPr>
          <w:rFonts w:ascii="Times New Roman" w:hAnsi="Times New Roman" w:cs="Times New Roman"/>
          <w:b/>
          <w:u w:val="single"/>
        </w:rPr>
        <w:t xml:space="preserve">maio </w:t>
      </w:r>
      <w:r w:rsidRPr="005E6C42">
        <w:rPr>
          <w:rFonts w:ascii="Times New Roman" w:hAnsi="Times New Roman" w:cs="Times New Roman"/>
          <w:b/>
          <w:u w:val="single"/>
        </w:rPr>
        <w:t>de 202</w:t>
      </w:r>
      <w:r w:rsidR="0035372E" w:rsidRPr="005E6C42">
        <w:rPr>
          <w:rFonts w:ascii="Times New Roman" w:hAnsi="Times New Roman" w:cs="Times New Roman"/>
          <w:b/>
          <w:u w:val="single"/>
        </w:rPr>
        <w:t>5</w:t>
      </w:r>
      <w:r w:rsidRPr="005E6C42">
        <w:rPr>
          <w:rFonts w:ascii="Times New Roman" w:hAnsi="Times New Roman" w:cs="Times New Roman"/>
          <w:bCs/>
        </w:rPr>
        <w:t>, para o endereço de e-mail</w:t>
      </w:r>
      <w:r w:rsidR="00BB6FF8" w:rsidRPr="005E6C42">
        <w:rPr>
          <w:rFonts w:ascii="Times New Roman" w:hAnsi="Times New Roman" w:cs="Times New Roman"/>
          <w:bCs/>
        </w:rPr>
        <w:t xml:space="preserve"> s</w:t>
      </w:r>
      <w:r w:rsidRPr="005E6C42">
        <w:rPr>
          <w:rFonts w:ascii="Times New Roman" w:hAnsi="Times New Roman" w:cs="Times New Roman"/>
          <w:bCs/>
        </w:rPr>
        <w:t>ecretaria.geral@sindireceita.org.br, conforme artigo 31, § 11º, do Estatuto. Os editais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complementares das DS devem ser publicados pelos próprios delegados sindicais, de acordo com o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Estatuto.</w:t>
      </w:r>
    </w:p>
    <w:bookmarkEnd w:id="0"/>
    <w:p w14:paraId="4C936483" w14:textId="00BF9E8B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Brasília/DF, </w:t>
      </w:r>
      <w:r w:rsidR="00C83F1B">
        <w:rPr>
          <w:rFonts w:ascii="Times New Roman" w:hAnsi="Times New Roman" w:cs="Times New Roman"/>
          <w:bCs/>
        </w:rPr>
        <w:t>9</w:t>
      </w:r>
      <w:r w:rsidRPr="005E6C42">
        <w:rPr>
          <w:rFonts w:ascii="Times New Roman" w:hAnsi="Times New Roman" w:cs="Times New Roman"/>
          <w:bCs/>
        </w:rPr>
        <w:t xml:space="preserve"> de </w:t>
      </w:r>
      <w:r w:rsidR="00E55248" w:rsidRPr="005E6C42">
        <w:rPr>
          <w:rFonts w:ascii="Times New Roman" w:hAnsi="Times New Roman" w:cs="Times New Roman"/>
          <w:bCs/>
        </w:rPr>
        <w:t>ma</w:t>
      </w:r>
      <w:r w:rsidR="00A91995" w:rsidRPr="005E6C42">
        <w:rPr>
          <w:rFonts w:ascii="Times New Roman" w:hAnsi="Times New Roman" w:cs="Times New Roman"/>
          <w:bCs/>
        </w:rPr>
        <w:t>io</w:t>
      </w:r>
      <w:r w:rsidR="00C24880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de 2025.</w:t>
      </w:r>
    </w:p>
    <w:p w14:paraId="4D83DC04" w14:textId="77777777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69C6AE8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Sindireceita</w:t>
      </w:r>
    </w:p>
    <w:p w14:paraId="49BE1DDF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 w:rsidRPr="005E6C42">
        <w:rPr>
          <w:rFonts w:ascii="Times New Roman" w:hAnsi="Times New Roman" w:cs="Times New Roman"/>
          <w:bCs/>
          <w:i/>
          <w:iCs/>
        </w:rPr>
        <w:t>Diretoria Executiva Nacional</w:t>
      </w:r>
    </w:p>
    <w:p w14:paraId="1D8CDAD1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 w:rsidRPr="005E6C42">
        <w:rPr>
          <w:rFonts w:ascii="Times New Roman" w:hAnsi="Times New Roman" w:cs="Times New Roman"/>
          <w:bCs/>
          <w:i/>
          <w:iCs/>
        </w:rPr>
        <w:t>Conselho Nacional de Representantes Estaduais</w:t>
      </w:r>
    </w:p>
    <w:p w14:paraId="41BC5C24" w14:textId="77777777" w:rsidR="00B00CB5" w:rsidRDefault="00B00CB5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sectPr w:rsidR="00B00CB5" w:rsidSect="00DF25E6">
      <w:headerReference w:type="default" r:id="rId8"/>
      <w:footerReference w:type="default" r:id="rId9"/>
      <w:pgSz w:w="11906" w:h="16838"/>
      <w:pgMar w:top="1702" w:right="1134" w:bottom="1418" w:left="1134" w:header="675" w:footer="0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CD25" w14:textId="77777777" w:rsidR="00173227" w:rsidRDefault="00173227">
      <w:pPr>
        <w:spacing w:before="0" w:after="0"/>
      </w:pPr>
      <w:r>
        <w:separator/>
      </w:r>
    </w:p>
  </w:endnote>
  <w:endnote w:type="continuationSeparator" w:id="0">
    <w:p w14:paraId="64111203" w14:textId="77777777" w:rsidR="00173227" w:rsidRDefault="001732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ibson Light">
    <w:altName w:val="Arial"/>
    <w:charset w:val="01"/>
    <w:family w:val="modern"/>
    <w:pitch w:val="variable"/>
  </w:font>
  <w:font w:name="Gibson">
    <w:altName w:val="Arial"/>
    <w:charset w:val="01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71029A" w14:paraId="5C525BB3" w14:textId="77777777">
      <w:trPr>
        <w:trHeight w:val="509"/>
      </w:trPr>
      <w:tc>
        <w:tcPr>
          <w:tcW w:w="9638" w:type="dxa"/>
          <w:tcBorders>
            <w:top w:val="single" w:sz="4" w:space="0" w:color="FFFF00"/>
            <w:bottom w:val="single" w:sz="4" w:space="0" w:color="FFFF00"/>
          </w:tcBorders>
          <w:shd w:val="clear" w:color="auto" w:fill="FFFFFF"/>
        </w:tcPr>
        <w:p w14:paraId="78BF41F5" w14:textId="77777777" w:rsidR="0071029A" w:rsidRDefault="0071029A">
          <w:pPr>
            <w:pStyle w:val="Rodap"/>
            <w:jc w:val="center"/>
          </w:pPr>
          <w:r>
            <w:rPr>
              <w:rFonts w:ascii="Gibson" w:hAnsi="Gibson" w:cs="Gibson"/>
              <w:color w:val="999999"/>
              <w:spacing w:val="-4"/>
              <w:sz w:val="18"/>
              <w:szCs w:val="18"/>
            </w:rPr>
            <w:t>S</w:t>
          </w:r>
          <w:r>
            <w:rPr>
              <w:rFonts w:ascii="Gibson" w:hAnsi="Gibson" w:cs="Gibson"/>
              <w:color w:val="808080"/>
              <w:spacing w:val="-4"/>
              <w:sz w:val="18"/>
              <w:szCs w:val="18"/>
            </w:rPr>
            <w:t>HCGN CR 702/703 Bloco E loja 37 | CEP 70720-650 | Brasília/DF | Tel.: (61) 3962-2300/3962-2301 | www.sindireceita.org.br</w:t>
          </w:r>
        </w:p>
      </w:tc>
    </w:tr>
  </w:tbl>
  <w:p w14:paraId="5E94BA11" w14:textId="77777777" w:rsidR="0071029A" w:rsidRDefault="0071029A">
    <w:pPr>
      <w:pStyle w:val="Rodap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F457" w14:textId="77777777" w:rsidR="00173227" w:rsidRDefault="00173227">
      <w:pPr>
        <w:spacing w:before="0" w:after="0"/>
      </w:pPr>
      <w:r>
        <w:separator/>
      </w:r>
    </w:p>
  </w:footnote>
  <w:footnote w:type="continuationSeparator" w:id="0">
    <w:p w14:paraId="325108D9" w14:textId="77777777" w:rsidR="00173227" w:rsidRDefault="001732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C82C" w14:textId="59134AC4" w:rsidR="00C94A70" w:rsidRDefault="004C5A57" w:rsidP="00C94A70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 wp14:anchorId="52ACD212" wp14:editId="75D720D4">
          <wp:simplePos x="0" y="0"/>
          <wp:positionH relativeFrom="column">
            <wp:posOffset>-158115</wp:posOffset>
          </wp:positionH>
          <wp:positionV relativeFrom="paragraph">
            <wp:posOffset>-184785</wp:posOffset>
          </wp:positionV>
          <wp:extent cx="2269490" cy="802640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02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A70">
      <w:rPr>
        <w:rFonts w:ascii="Gibson Light" w:hAnsi="Gibson Light" w:cs="Gibson Light"/>
        <w:b/>
        <w:bCs/>
        <w:color w:val="808080"/>
        <w:sz w:val="20"/>
        <w:szCs w:val="20"/>
      </w:rPr>
      <w:t>| Diretoria Executiva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36" w:hanging="27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0" w:hanging="27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1" w:hanging="27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27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2" w:hanging="27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42" w:hanging="27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3" w:hanging="27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3" w:hanging="27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4" w:hanging="270"/>
      </w:pPr>
      <w:rPr>
        <w:rFonts w:ascii="Symbol" w:hAnsi="Symbol" w:cs="Symbol"/>
        <w:lang w:val="pt-PT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8E1DCF"/>
    <w:multiLevelType w:val="hybridMultilevel"/>
    <w:tmpl w:val="9264A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0B23"/>
    <w:multiLevelType w:val="hybridMultilevel"/>
    <w:tmpl w:val="494C6202"/>
    <w:lvl w:ilvl="0" w:tplc="DC7294B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4393"/>
    <w:multiLevelType w:val="multilevel"/>
    <w:tmpl w:val="5EB60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B095A"/>
    <w:multiLevelType w:val="hybridMultilevel"/>
    <w:tmpl w:val="176A9886"/>
    <w:lvl w:ilvl="0" w:tplc="23EEE0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A372C03"/>
    <w:multiLevelType w:val="multilevel"/>
    <w:tmpl w:val="6734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B0D4806"/>
    <w:multiLevelType w:val="multilevel"/>
    <w:tmpl w:val="835CC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847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5D500A"/>
    <w:multiLevelType w:val="hybridMultilevel"/>
    <w:tmpl w:val="B7D8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2768">
    <w:abstractNumId w:val="0"/>
  </w:num>
  <w:num w:numId="2" w16cid:durableId="462701347">
    <w:abstractNumId w:val="1"/>
  </w:num>
  <w:num w:numId="3" w16cid:durableId="1461604539">
    <w:abstractNumId w:val="2"/>
  </w:num>
  <w:num w:numId="4" w16cid:durableId="1330788409">
    <w:abstractNumId w:val="9"/>
  </w:num>
  <w:num w:numId="5" w16cid:durableId="1015812814">
    <w:abstractNumId w:val="6"/>
  </w:num>
  <w:num w:numId="6" w16cid:durableId="681206489">
    <w:abstractNumId w:val="5"/>
  </w:num>
  <w:num w:numId="7" w16cid:durableId="139928736">
    <w:abstractNumId w:val="7"/>
  </w:num>
  <w:num w:numId="8" w16cid:durableId="1308049462">
    <w:abstractNumId w:val="8"/>
  </w:num>
  <w:num w:numId="9" w16cid:durableId="1869488700">
    <w:abstractNumId w:val="3"/>
  </w:num>
  <w:num w:numId="10" w16cid:durableId="562255490">
    <w:abstractNumId w:val="4"/>
  </w:num>
  <w:num w:numId="11" w16cid:durableId="1345091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70"/>
    <w:rsid w:val="000006E3"/>
    <w:rsid w:val="000009F9"/>
    <w:rsid w:val="00002F80"/>
    <w:rsid w:val="00004505"/>
    <w:rsid w:val="000107C1"/>
    <w:rsid w:val="00017FC7"/>
    <w:rsid w:val="00023318"/>
    <w:rsid w:val="000238D5"/>
    <w:rsid w:val="00031932"/>
    <w:rsid w:val="00040CB0"/>
    <w:rsid w:val="00042647"/>
    <w:rsid w:val="00042A08"/>
    <w:rsid w:val="000465C6"/>
    <w:rsid w:val="00047E8A"/>
    <w:rsid w:val="0007062D"/>
    <w:rsid w:val="00082661"/>
    <w:rsid w:val="00083FA3"/>
    <w:rsid w:val="000A2ABD"/>
    <w:rsid w:val="000A2DBC"/>
    <w:rsid w:val="000A3C4D"/>
    <w:rsid w:val="000A6769"/>
    <w:rsid w:val="000B028C"/>
    <w:rsid w:val="000B104D"/>
    <w:rsid w:val="000B7583"/>
    <w:rsid w:val="000F2ADF"/>
    <w:rsid w:val="000F7FD7"/>
    <w:rsid w:val="00112509"/>
    <w:rsid w:val="001171CD"/>
    <w:rsid w:val="00124252"/>
    <w:rsid w:val="00125BE1"/>
    <w:rsid w:val="0013496B"/>
    <w:rsid w:val="00144F59"/>
    <w:rsid w:val="00153875"/>
    <w:rsid w:val="00164C8D"/>
    <w:rsid w:val="00173227"/>
    <w:rsid w:val="0018311C"/>
    <w:rsid w:val="00184EF9"/>
    <w:rsid w:val="00185606"/>
    <w:rsid w:val="001A35F5"/>
    <w:rsid w:val="001A3BDF"/>
    <w:rsid w:val="001C051A"/>
    <w:rsid w:val="001C059F"/>
    <w:rsid w:val="001C7BA9"/>
    <w:rsid w:val="001D1474"/>
    <w:rsid w:val="001D5794"/>
    <w:rsid w:val="001D6DB9"/>
    <w:rsid w:val="001F2BB9"/>
    <w:rsid w:val="00226D35"/>
    <w:rsid w:val="00231DF3"/>
    <w:rsid w:val="0024318E"/>
    <w:rsid w:val="002445A9"/>
    <w:rsid w:val="00244DA2"/>
    <w:rsid w:val="00250965"/>
    <w:rsid w:val="00253A32"/>
    <w:rsid w:val="00254ED2"/>
    <w:rsid w:val="002573BE"/>
    <w:rsid w:val="002621B0"/>
    <w:rsid w:val="00263200"/>
    <w:rsid w:val="00266AD9"/>
    <w:rsid w:val="002737F2"/>
    <w:rsid w:val="002838C8"/>
    <w:rsid w:val="00283C01"/>
    <w:rsid w:val="00283FDB"/>
    <w:rsid w:val="00293C80"/>
    <w:rsid w:val="002A0C9D"/>
    <w:rsid w:val="002A45FF"/>
    <w:rsid w:val="002A4873"/>
    <w:rsid w:val="002D5FE1"/>
    <w:rsid w:val="002F5922"/>
    <w:rsid w:val="002F6412"/>
    <w:rsid w:val="002F65CE"/>
    <w:rsid w:val="0032050F"/>
    <w:rsid w:val="0032092B"/>
    <w:rsid w:val="003367D4"/>
    <w:rsid w:val="003445F0"/>
    <w:rsid w:val="00351281"/>
    <w:rsid w:val="003512CE"/>
    <w:rsid w:val="0035372E"/>
    <w:rsid w:val="00356049"/>
    <w:rsid w:val="0035755F"/>
    <w:rsid w:val="00371136"/>
    <w:rsid w:val="00375378"/>
    <w:rsid w:val="00376B6E"/>
    <w:rsid w:val="00381263"/>
    <w:rsid w:val="00384570"/>
    <w:rsid w:val="00386E22"/>
    <w:rsid w:val="00391BF6"/>
    <w:rsid w:val="003926E6"/>
    <w:rsid w:val="003A4F66"/>
    <w:rsid w:val="003A6BAC"/>
    <w:rsid w:val="003B47CB"/>
    <w:rsid w:val="003C13BC"/>
    <w:rsid w:val="003D7B5E"/>
    <w:rsid w:val="003E21F0"/>
    <w:rsid w:val="003E2356"/>
    <w:rsid w:val="003F2C1A"/>
    <w:rsid w:val="003F43B4"/>
    <w:rsid w:val="003F5373"/>
    <w:rsid w:val="00406835"/>
    <w:rsid w:val="004149C6"/>
    <w:rsid w:val="00417C0A"/>
    <w:rsid w:val="00421141"/>
    <w:rsid w:val="00424EDD"/>
    <w:rsid w:val="00431FF3"/>
    <w:rsid w:val="00441E22"/>
    <w:rsid w:val="00443EC6"/>
    <w:rsid w:val="0044685F"/>
    <w:rsid w:val="004558A4"/>
    <w:rsid w:val="004606C7"/>
    <w:rsid w:val="0046248C"/>
    <w:rsid w:val="00466D65"/>
    <w:rsid w:val="004773B2"/>
    <w:rsid w:val="00492E16"/>
    <w:rsid w:val="004B071B"/>
    <w:rsid w:val="004C3D6F"/>
    <w:rsid w:val="004C3DDB"/>
    <w:rsid w:val="004C51C0"/>
    <w:rsid w:val="004C5A57"/>
    <w:rsid w:val="004C7D47"/>
    <w:rsid w:val="004F0EAB"/>
    <w:rsid w:val="004F78B0"/>
    <w:rsid w:val="00501D05"/>
    <w:rsid w:val="005139B4"/>
    <w:rsid w:val="005213A1"/>
    <w:rsid w:val="00522DB1"/>
    <w:rsid w:val="00543515"/>
    <w:rsid w:val="00546996"/>
    <w:rsid w:val="00551C0C"/>
    <w:rsid w:val="00554FD2"/>
    <w:rsid w:val="00555CCB"/>
    <w:rsid w:val="00564420"/>
    <w:rsid w:val="00570C0B"/>
    <w:rsid w:val="0058147E"/>
    <w:rsid w:val="00591FC9"/>
    <w:rsid w:val="00593551"/>
    <w:rsid w:val="005A0B8C"/>
    <w:rsid w:val="005A1BB6"/>
    <w:rsid w:val="005C4B2A"/>
    <w:rsid w:val="005D24C3"/>
    <w:rsid w:val="005D7DDE"/>
    <w:rsid w:val="005E6C42"/>
    <w:rsid w:val="005F6191"/>
    <w:rsid w:val="0060082E"/>
    <w:rsid w:val="00603CF1"/>
    <w:rsid w:val="00613930"/>
    <w:rsid w:val="00616090"/>
    <w:rsid w:val="006233BF"/>
    <w:rsid w:val="0062637D"/>
    <w:rsid w:val="00630E11"/>
    <w:rsid w:val="00635188"/>
    <w:rsid w:val="00662184"/>
    <w:rsid w:val="00666291"/>
    <w:rsid w:val="006910DC"/>
    <w:rsid w:val="00696CD5"/>
    <w:rsid w:val="006A345B"/>
    <w:rsid w:val="006A7439"/>
    <w:rsid w:val="006B0F88"/>
    <w:rsid w:val="006C1ECD"/>
    <w:rsid w:val="006C376F"/>
    <w:rsid w:val="006D5AB6"/>
    <w:rsid w:val="006F6A6C"/>
    <w:rsid w:val="00700EF0"/>
    <w:rsid w:val="00703557"/>
    <w:rsid w:val="00707847"/>
    <w:rsid w:val="0071029A"/>
    <w:rsid w:val="007124D5"/>
    <w:rsid w:val="00731658"/>
    <w:rsid w:val="00731B28"/>
    <w:rsid w:val="00732124"/>
    <w:rsid w:val="00734297"/>
    <w:rsid w:val="0075245C"/>
    <w:rsid w:val="007633BE"/>
    <w:rsid w:val="00771F2F"/>
    <w:rsid w:val="007A4888"/>
    <w:rsid w:val="007D0A5C"/>
    <w:rsid w:val="007D166D"/>
    <w:rsid w:val="007D1F4D"/>
    <w:rsid w:val="007D3221"/>
    <w:rsid w:val="007D545B"/>
    <w:rsid w:val="007F4E20"/>
    <w:rsid w:val="007F599F"/>
    <w:rsid w:val="00806120"/>
    <w:rsid w:val="00830CC5"/>
    <w:rsid w:val="00833088"/>
    <w:rsid w:val="00833FD0"/>
    <w:rsid w:val="008410EE"/>
    <w:rsid w:val="00842713"/>
    <w:rsid w:val="00855E67"/>
    <w:rsid w:val="0085696E"/>
    <w:rsid w:val="00856AC8"/>
    <w:rsid w:val="00856C78"/>
    <w:rsid w:val="00860C5D"/>
    <w:rsid w:val="008668E6"/>
    <w:rsid w:val="0088284C"/>
    <w:rsid w:val="008845BE"/>
    <w:rsid w:val="008A35E2"/>
    <w:rsid w:val="008B2E2E"/>
    <w:rsid w:val="008B5F25"/>
    <w:rsid w:val="008C5EE8"/>
    <w:rsid w:val="008E7D5C"/>
    <w:rsid w:val="008F75AB"/>
    <w:rsid w:val="009112FD"/>
    <w:rsid w:val="00911B77"/>
    <w:rsid w:val="00914F4C"/>
    <w:rsid w:val="009306A3"/>
    <w:rsid w:val="00931428"/>
    <w:rsid w:val="00935814"/>
    <w:rsid w:val="00941DA8"/>
    <w:rsid w:val="00945E90"/>
    <w:rsid w:val="0096042E"/>
    <w:rsid w:val="00977D95"/>
    <w:rsid w:val="00981D3B"/>
    <w:rsid w:val="00986949"/>
    <w:rsid w:val="00987040"/>
    <w:rsid w:val="00987CF7"/>
    <w:rsid w:val="00991249"/>
    <w:rsid w:val="00997A79"/>
    <w:rsid w:val="009A2E2A"/>
    <w:rsid w:val="009A53F9"/>
    <w:rsid w:val="009B4B73"/>
    <w:rsid w:val="009B6081"/>
    <w:rsid w:val="009C73F9"/>
    <w:rsid w:val="009D3289"/>
    <w:rsid w:val="009D7BA4"/>
    <w:rsid w:val="009E1908"/>
    <w:rsid w:val="009E2350"/>
    <w:rsid w:val="009F7891"/>
    <w:rsid w:val="00A0004B"/>
    <w:rsid w:val="00A021A3"/>
    <w:rsid w:val="00A0522F"/>
    <w:rsid w:val="00A125EC"/>
    <w:rsid w:val="00A179DF"/>
    <w:rsid w:val="00A2602E"/>
    <w:rsid w:val="00A315CC"/>
    <w:rsid w:val="00A32C49"/>
    <w:rsid w:val="00A3627F"/>
    <w:rsid w:val="00A449AD"/>
    <w:rsid w:val="00A6567A"/>
    <w:rsid w:val="00A6765B"/>
    <w:rsid w:val="00A74EED"/>
    <w:rsid w:val="00A8500A"/>
    <w:rsid w:val="00A91995"/>
    <w:rsid w:val="00AA07CE"/>
    <w:rsid w:val="00AB09C2"/>
    <w:rsid w:val="00AC3D44"/>
    <w:rsid w:val="00AC55FF"/>
    <w:rsid w:val="00AC6584"/>
    <w:rsid w:val="00AD48D1"/>
    <w:rsid w:val="00AF37B2"/>
    <w:rsid w:val="00B005DA"/>
    <w:rsid w:val="00B00CB5"/>
    <w:rsid w:val="00B139DA"/>
    <w:rsid w:val="00B14AC3"/>
    <w:rsid w:val="00B15596"/>
    <w:rsid w:val="00B16245"/>
    <w:rsid w:val="00B1745F"/>
    <w:rsid w:val="00B204B0"/>
    <w:rsid w:val="00B2153A"/>
    <w:rsid w:val="00B4652C"/>
    <w:rsid w:val="00B55649"/>
    <w:rsid w:val="00B84B8C"/>
    <w:rsid w:val="00B90280"/>
    <w:rsid w:val="00B95256"/>
    <w:rsid w:val="00B96283"/>
    <w:rsid w:val="00BB019A"/>
    <w:rsid w:val="00BB6D81"/>
    <w:rsid w:val="00BB6FF8"/>
    <w:rsid w:val="00BC645F"/>
    <w:rsid w:val="00BF050E"/>
    <w:rsid w:val="00C10F9E"/>
    <w:rsid w:val="00C138E9"/>
    <w:rsid w:val="00C16BAE"/>
    <w:rsid w:val="00C2155C"/>
    <w:rsid w:val="00C23476"/>
    <w:rsid w:val="00C24880"/>
    <w:rsid w:val="00C24906"/>
    <w:rsid w:val="00C30437"/>
    <w:rsid w:val="00C30EA8"/>
    <w:rsid w:val="00C44A29"/>
    <w:rsid w:val="00C46BCC"/>
    <w:rsid w:val="00C51CC1"/>
    <w:rsid w:val="00C56E24"/>
    <w:rsid w:val="00C6071D"/>
    <w:rsid w:val="00C71E88"/>
    <w:rsid w:val="00C71F4B"/>
    <w:rsid w:val="00C72179"/>
    <w:rsid w:val="00C83F1B"/>
    <w:rsid w:val="00C94A70"/>
    <w:rsid w:val="00CA69FC"/>
    <w:rsid w:val="00CC667A"/>
    <w:rsid w:val="00CD48E6"/>
    <w:rsid w:val="00CF0545"/>
    <w:rsid w:val="00CF7483"/>
    <w:rsid w:val="00D1679F"/>
    <w:rsid w:val="00D2226B"/>
    <w:rsid w:val="00D3750F"/>
    <w:rsid w:val="00D47468"/>
    <w:rsid w:val="00D54F4A"/>
    <w:rsid w:val="00D56832"/>
    <w:rsid w:val="00D62A71"/>
    <w:rsid w:val="00D74ECC"/>
    <w:rsid w:val="00D77464"/>
    <w:rsid w:val="00D80F18"/>
    <w:rsid w:val="00D90B25"/>
    <w:rsid w:val="00D9632A"/>
    <w:rsid w:val="00DA61DE"/>
    <w:rsid w:val="00DB05EF"/>
    <w:rsid w:val="00DB388D"/>
    <w:rsid w:val="00DB56E6"/>
    <w:rsid w:val="00DC1E22"/>
    <w:rsid w:val="00DC43DA"/>
    <w:rsid w:val="00DD782C"/>
    <w:rsid w:val="00DD78C8"/>
    <w:rsid w:val="00DE40A3"/>
    <w:rsid w:val="00DE63AB"/>
    <w:rsid w:val="00DF20C1"/>
    <w:rsid w:val="00DF25E6"/>
    <w:rsid w:val="00E0391E"/>
    <w:rsid w:val="00E1273E"/>
    <w:rsid w:val="00E24460"/>
    <w:rsid w:val="00E2623C"/>
    <w:rsid w:val="00E34164"/>
    <w:rsid w:val="00E349F9"/>
    <w:rsid w:val="00E34B74"/>
    <w:rsid w:val="00E35133"/>
    <w:rsid w:val="00E46650"/>
    <w:rsid w:val="00E55248"/>
    <w:rsid w:val="00E558D1"/>
    <w:rsid w:val="00E74789"/>
    <w:rsid w:val="00E761C4"/>
    <w:rsid w:val="00E813ED"/>
    <w:rsid w:val="00E87C93"/>
    <w:rsid w:val="00EA15AD"/>
    <w:rsid w:val="00EA7371"/>
    <w:rsid w:val="00EB24B4"/>
    <w:rsid w:val="00EB6DA5"/>
    <w:rsid w:val="00EB710A"/>
    <w:rsid w:val="00EC46D3"/>
    <w:rsid w:val="00ED3392"/>
    <w:rsid w:val="00EE6B0E"/>
    <w:rsid w:val="00EF4539"/>
    <w:rsid w:val="00F060CA"/>
    <w:rsid w:val="00F10134"/>
    <w:rsid w:val="00F15E7A"/>
    <w:rsid w:val="00F1703D"/>
    <w:rsid w:val="00F17627"/>
    <w:rsid w:val="00F2573E"/>
    <w:rsid w:val="00F276B2"/>
    <w:rsid w:val="00F360AA"/>
    <w:rsid w:val="00F36640"/>
    <w:rsid w:val="00F40D1B"/>
    <w:rsid w:val="00F47B3A"/>
    <w:rsid w:val="00F51390"/>
    <w:rsid w:val="00F5454C"/>
    <w:rsid w:val="00F660A5"/>
    <w:rsid w:val="00F93F51"/>
    <w:rsid w:val="00FA164E"/>
    <w:rsid w:val="00FB5A39"/>
    <w:rsid w:val="00FC0244"/>
    <w:rsid w:val="00FC11C8"/>
    <w:rsid w:val="00FC3C11"/>
    <w:rsid w:val="00FD069F"/>
    <w:rsid w:val="00FD7F73"/>
    <w:rsid w:val="00FE44C5"/>
    <w:rsid w:val="00FF09A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2A3C5"/>
  <w15:chartTrackingRefBased/>
  <w15:docId w15:val="{4F66687B-5307-475C-9703-10DCC5B2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80" w:after="28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next w:val="Corpodetexto"/>
    <w:qFormat/>
    <w:pPr>
      <w:widowControl w:val="0"/>
      <w:numPr>
        <w:numId w:val="1"/>
      </w:numPr>
      <w:suppressAutoHyphens/>
      <w:outlineLvl w:val="0"/>
    </w:pPr>
    <w:rPr>
      <w:b/>
      <w:bCs/>
      <w:kern w:val="1"/>
      <w:sz w:val="36"/>
      <w:szCs w:val="36"/>
      <w:lang w:eastAsia="zh-CN"/>
    </w:rPr>
  </w:style>
  <w:style w:type="paragraph" w:styleId="Ttulo2">
    <w:name w:val="heading 2"/>
    <w:next w:val="Corpodetexto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Ttulo3">
    <w:name w:val="heading 3"/>
    <w:next w:val="Corpodetexto"/>
    <w:qFormat/>
    <w:pPr>
      <w:widowControl w:val="0"/>
      <w:numPr>
        <w:ilvl w:val="2"/>
        <w:numId w:val="1"/>
      </w:numPr>
      <w:suppressAutoHyphens/>
      <w:spacing w:before="140"/>
      <w:outlineLvl w:val="2"/>
    </w:pPr>
    <w:rPr>
      <w:b/>
      <w:bCs/>
      <w:kern w:val="1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WW8Num2z1">
    <w:name w:val="WW8Num2z1"/>
    <w:rPr>
      <w:rFonts w:ascii="Symbol" w:hAnsi="Symbol" w:cs="Symbol"/>
      <w:lang w:val="pt-PT" w:eastAsia="en-US" w:bidi="ar-SA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cteresdenotaderodap">
    <w:name w:val="Caracteres de nota de rodapé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ListLabel4">
    <w:name w:val="ListLabel 4"/>
    <w:rPr>
      <w:rFonts w:ascii="Arial" w:hAnsi="Arial" w:cs="Arial"/>
      <w:b/>
      <w:sz w:val="24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Fontepargpadro10">
    <w:name w:val="Fonte parág. padrão1"/>
  </w:style>
  <w:style w:type="character" w:customStyle="1" w:styleId="Refdenotaderodap10">
    <w:name w:val="Ref. de nota de rodapé1"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customStyle="1" w:styleId="WW-LinkdaInternet">
    <w:name w:val="WW-Link da Internet"/>
    <w:rPr>
      <w:color w:val="000080"/>
      <w:u w:val="single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rte1">
    <w:name w:val="Forte1"/>
    <w:rPr>
      <w:b/>
      <w:bCs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1">
    <w:name w:val="st1"/>
  </w:style>
  <w:style w:type="character" w:customStyle="1" w:styleId="ListLabel8">
    <w:name w:val="ListLabel 8"/>
    <w:rPr>
      <w:rFonts w:eastAsia="Times New Roman" w:cs="Times New Roman"/>
      <w:b/>
      <w:bCs/>
      <w:w w:val="100"/>
      <w:sz w:val="24"/>
      <w:szCs w:val="24"/>
      <w:lang w:val="pt-PT" w:bidi="ar-SA"/>
    </w:rPr>
  </w:style>
  <w:style w:type="character" w:customStyle="1" w:styleId="ListLabel9">
    <w:name w:val="ListLabel 9"/>
    <w:rPr>
      <w:lang w:val="pt-PT" w:bidi="ar-SA"/>
    </w:rPr>
  </w:style>
  <w:style w:type="character" w:customStyle="1" w:styleId="ListLabel10">
    <w:name w:val="ListLabel 10"/>
    <w:rPr>
      <w:lang w:val="pt-PT" w:bidi="ar-SA"/>
    </w:rPr>
  </w:style>
  <w:style w:type="character" w:customStyle="1" w:styleId="ListLabel11">
    <w:name w:val="ListLabel 11"/>
    <w:rPr>
      <w:lang w:val="pt-PT" w:bidi="ar-SA"/>
    </w:rPr>
  </w:style>
  <w:style w:type="character" w:customStyle="1" w:styleId="ListLabel12">
    <w:name w:val="ListLabel 12"/>
    <w:rPr>
      <w:lang w:val="pt-PT" w:bidi="ar-SA"/>
    </w:rPr>
  </w:style>
  <w:style w:type="character" w:customStyle="1" w:styleId="ListLabel13">
    <w:name w:val="ListLabel 13"/>
    <w:rPr>
      <w:lang w:val="pt-PT" w:bidi="ar-SA"/>
    </w:rPr>
  </w:style>
  <w:style w:type="character" w:customStyle="1" w:styleId="ListLabel14">
    <w:name w:val="ListLabel 14"/>
    <w:rPr>
      <w:lang w:val="pt-PT" w:bidi="ar-SA"/>
    </w:rPr>
  </w:style>
  <w:style w:type="character" w:customStyle="1" w:styleId="ListLabel15">
    <w:name w:val="ListLabel 15"/>
    <w:rPr>
      <w:lang w:val="pt-PT" w:bidi="ar-SA"/>
    </w:rPr>
  </w:style>
  <w:style w:type="character" w:customStyle="1" w:styleId="ListLabel16">
    <w:name w:val="ListLabel 16"/>
    <w:rPr>
      <w:lang w:val="pt-PT" w:bidi="ar-SA"/>
    </w:rPr>
  </w:style>
  <w:style w:type="character" w:customStyle="1" w:styleId="ListLabel17">
    <w:name w:val="ListLabel 17"/>
    <w:rPr>
      <w:rFonts w:eastAsia="SimSun" w:cs="Mang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SimSun" w:cs="Mangal"/>
      <w:b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sz w:val="24"/>
    </w:rPr>
  </w:style>
  <w:style w:type="character" w:customStyle="1" w:styleId="ListLabel26">
    <w:name w:val="ListLabel 26"/>
    <w:rPr>
      <w:sz w:val="24"/>
    </w:rPr>
  </w:style>
  <w:style w:type="character" w:customStyle="1" w:styleId="ListLabel27">
    <w:name w:val="ListLabel 27"/>
    <w:rPr>
      <w:sz w:val="24"/>
    </w:rPr>
  </w:style>
  <w:style w:type="character" w:customStyle="1" w:styleId="ListLabel28">
    <w:name w:val="ListLabel 28"/>
    <w:rPr>
      <w:sz w:val="24"/>
    </w:rPr>
  </w:style>
  <w:style w:type="character" w:customStyle="1" w:styleId="ListLabel29">
    <w:name w:val="ListLabel 29"/>
    <w:rPr>
      <w:sz w:val="24"/>
    </w:rPr>
  </w:style>
  <w:style w:type="character" w:customStyle="1" w:styleId="ListLabel30">
    <w:name w:val="ListLabel 30"/>
    <w:rPr>
      <w:sz w:val="24"/>
    </w:rPr>
  </w:style>
  <w:style w:type="character" w:customStyle="1" w:styleId="ListLabel31">
    <w:name w:val="ListLabel 31"/>
    <w:rPr>
      <w:sz w:val="24"/>
    </w:rPr>
  </w:style>
  <w:style w:type="character" w:customStyle="1" w:styleId="ListLabel32">
    <w:name w:val="ListLabel 32"/>
    <w:rPr>
      <w:sz w:val="24"/>
    </w:rPr>
  </w:style>
  <w:style w:type="character" w:customStyle="1" w:styleId="ListLabel33">
    <w:name w:val="ListLabel 33"/>
    <w:rPr>
      <w:sz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itaes">
    <w:name w:val="Citações"/>
    <w:basedOn w:val="Normal"/>
    <w:pPr>
      <w:spacing w:before="0" w:after="283"/>
      <w:ind w:left="567" w:right="567"/>
    </w:pPr>
  </w:style>
  <w:style w:type="paragraph" w:customStyle="1" w:styleId="WW-Ttulo">
    <w:name w:val="WW-Título"/>
    <w:basedOn w:val="Ttulo1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notaderodap1">
    <w:name w:val="Texto de nota de rodapé1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grafodaLista1">
    <w:name w:val="Parágrafo da Lista1"/>
    <w:basedOn w:val="Normal"/>
    <w:pPr>
      <w:spacing w:before="0" w:after="160"/>
      <w:ind w:left="720"/>
      <w:contextualSpacing/>
    </w:pPr>
  </w:style>
  <w:style w:type="paragraph" w:customStyle="1" w:styleId="Padro">
    <w:name w:val="Padrão"/>
    <w:pPr>
      <w:tabs>
        <w:tab w:val="left" w:pos="708"/>
      </w:tabs>
      <w:suppressAutoHyphens/>
      <w:spacing w:before="280" w:after="160" w:line="252" w:lineRule="auto"/>
    </w:pPr>
    <w:rPr>
      <w:rFonts w:ascii="Calibri" w:eastAsia="SimSun" w:hAnsi="Calibri" w:cs="Calibri"/>
      <w:color w:val="00000A"/>
      <w:kern w:val="1"/>
      <w:sz w:val="22"/>
      <w:szCs w:val="22"/>
      <w:lang w:eastAsia="zh-CN"/>
    </w:rPr>
  </w:style>
  <w:style w:type="paragraph" w:customStyle="1" w:styleId="Textodebalo1">
    <w:name w:val="Texto de balão1"/>
    <w:basedOn w:val="Normal"/>
    <w:pPr>
      <w:spacing w:before="0" w:after="0"/>
    </w:pPr>
    <w:rPr>
      <w:rFonts w:ascii="Segoe UI" w:hAnsi="Segoe UI" w:cs="Segoe UI"/>
      <w:sz w:val="18"/>
      <w:szCs w:val="16"/>
    </w:rPr>
  </w:style>
  <w:style w:type="paragraph" w:customStyle="1" w:styleId="PargrafodaLista2">
    <w:name w:val="Parágrafo da Lista2"/>
    <w:basedOn w:val="Normal"/>
    <w:pPr>
      <w:widowControl w:val="0"/>
      <w:spacing w:before="0" w:after="0"/>
      <w:ind w:left="596" w:hanging="361"/>
    </w:pPr>
    <w:rPr>
      <w:rFonts w:ascii="Times New Roman" w:eastAsia="Times New Roman" w:hAnsi="Times New Roman" w:cs="Times New Roman"/>
      <w:sz w:val="22"/>
      <w:szCs w:val="22"/>
      <w:lang w:val="pt-PT" w:bidi="ar-SA"/>
    </w:rPr>
  </w:style>
  <w:style w:type="paragraph" w:customStyle="1" w:styleId="Corpodetexto21">
    <w:name w:val="Corpo de texto 21"/>
    <w:basedOn w:val="Normal"/>
    <w:pPr>
      <w:spacing w:before="0" w:after="0" w:line="360" w:lineRule="auto"/>
      <w:jc w:val="both"/>
    </w:pPr>
  </w:style>
  <w:style w:type="character" w:styleId="MenoPendente">
    <w:name w:val="Unresolved Mention"/>
    <w:uiPriority w:val="99"/>
    <w:semiHidden/>
    <w:unhideWhenUsed/>
    <w:rsid w:val="005C4B2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A3C4D"/>
    <w:pPr>
      <w:ind w:left="708"/>
    </w:pPr>
    <w:rPr>
      <w:szCs w:val="21"/>
    </w:rPr>
  </w:style>
  <w:style w:type="character" w:customStyle="1" w:styleId="fontstyle01">
    <w:name w:val="fontstyle01"/>
    <w:basedOn w:val="Fontepargpadro"/>
    <w:rsid w:val="00D167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167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7980-62F3-43A5-99E5-B40290552C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Links>
    <vt:vector size="6" baseType="variant"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mailto:mobilizacao@sindireceita.org.br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Sales Rodrigues</dc:creator>
  <cp:keywords/>
  <cp:lastModifiedBy>Alexandre Magno Cruz Pereira</cp:lastModifiedBy>
  <cp:revision>101</cp:revision>
  <cp:lastPrinted>2024-12-08T00:28:00Z</cp:lastPrinted>
  <dcterms:created xsi:type="dcterms:W3CDTF">2024-12-10T00:20:00Z</dcterms:created>
  <dcterms:modified xsi:type="dcterms:W3CDTF">2025-05-09T11:52:00Z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