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3DB589" w14:textId="12167AE1" w:rsidR="00723F8B" w:rsidRPr="005E6C42" w:rsidRDefault="00723F8B" w:rsidP="00723F8B">
      <w:pPr>
        <w:shd w:val="clear" w:color="auto" w:fill="BFBFBF"/>
        <w:jc w:val="center"/>
        <w:rPr>
          <w:sz w:val="28"/>
          <w:szCs w:val="28"/>
        </w:rPr>
      </w:pPr>
      <w:bookmarkStart w:id="0" w:name="_Hlk152587249"/>
      <w:r w:rsidRPr="005E6C42">
        <w:rPr>
          <w:b/>
          <w:sz w:val="28"/>
          <w:szCs w:val="28"/>
        </w:rPr>
        <w:t>Assembleia Geral Nacional Unificada – AGNU</w:t>
      </w:r>
      <w:r w:rsidRPr="005E6C42">
        <w:rPr>
          <w:b/>
          <w:sz w:val="28"/>
          <w:szCs w:val="28"/>
        </w:rPr>
        <w:br/>
      </w:r>
      <w:r w:rsidR="00914A57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</w:t>
      </w:r>
      <w:r w:rsidR="00914A57">
        <w:rPr>
          <w:b/>
          <w:sz w:val="28"/>
          <w:szCs w:val="28"/>
        </w:rPr>
        <w:t>ao dia</w:t>
      </w:r>
      <w:r>
        <w:rPr>
          <w:b/>
          <w:sz w:val="28"/>
          <w:szCs w:val="28"/>
        </w:rPr>
        <w:t xml:space="preserve"> </w:t>
      </w:r>
      <w:r w:rsidR="00914A5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de nov</w:t>
      </w:r>
      <w:r w:rsidRPr="005E6C4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mbro </w:t>
      </w:r>
      <w:r w:rsidRPr="008123CF">
        <w:rPr>
          <w:b/>
          <w:sz w:val="28"/>
          <w:szCs w:val="28"/>
        </w:rPr>
        <w:t>de 2025</w:t>
      </w:r>
    </w:p>
    <w:p w14:paraId="6469FBCB" w14:textId="77777777" w:rsidR="00723F8B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14:paraId="50ED8F55" w14:textId="77777777" w:rsidR="00723F8B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</w:p>
    <w:p w14:paraId="44A0A1FF" w14:textId="40234B17" w:rsidR="00723F8B" w:rsidRPr="00DD782C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EDITAL DE CONVOCAÇÃO </w:t>
      </w:r>
    </w:p>
    <w:p w14:paraId="61737F9D" w14:textId="77777777" w:rsidR="00723F8B" w:rsidRPr="005E6C42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r w:rsidRPr="005E6C42">
        <w:rPr>
          <w:rFonts w:ascii="Times New Roman" w:hAnsi="Times New Roman" w:cs="Times New Roman"/>
          <w:b/>
        </w:rPr>
        <w:t>Assembleia Geral Nacional Unificada (AGNU)</w:t>
      </w:r>
    </w:p>
    <w:p w14:paraId="26F38AEB" w14:textId="583D5AD0" w:rsidR="00723F8B" w:rsidRDefault="00723F8B" w:rsidP="00723F8B">
      <w:pPr>
        <w:spacing w:before="0"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471EA">
        <w:rPr>
          <w:rFonts w:ascii="Times New Roman" w:hAnsi="Times New Roman" w:cs="Times New Roman"/>
          <w:b/>
        </w:rPr>
        <w:t>do</w:t>
      </w:r>
      <w:proofErr w:type="gramEnd"/>
      <w:r w:rsidRPr="00C471EA">
        <w:rPr>
          <w:rFonts w:ascii="Times New Roman" w:hAnsi="Times New Roman" w:cs="Times New Roman"/>
          <w:b/>
        </w:rPr>
        <w:t xml:space="preserve"> dia </w:t>
      </w:r>
      <w:r w:rsidR="00914A57">
        <w:rPr>
          <w:rFonts w:ascii="Times New Roman" w:hAnsi="Times New Roman" w:cs="Times New Roman"/>
          <w:b/>
        </w:rPr>
        <w:t>03</w:t>
      </w:r>
      <w:r w:rsidRPr="00C471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ao </w:t>
      </w:r>
      <w:r w:rsidRPr="00C471EA">
        <w:rPr>
          <w:rFonts w:ascii="Times New Roman" w:hAnsi="Times New Roman" w:cs="Times New Roman"/>
          <w:b/>
        </w:rPr>
        <w:t xml:space="preserve">dia </w:t>
      </w:r>
      <w:r w:rsidR="00914A57">
        <w:rPr>
          <w:rFonts w:ascii="Times New Roman" w:hAnsi="Times New Roman" w:cs="Times New Roman"/>
          <w:b/>
        </w:rPr>
        <w:t>05</w:t>
      </w:r>
      <w:r w:rsidRPr="00C471EA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 xml:space="preserve">novembro </w:t>
      </w:r>
      <w:r w:rsidRPr="00C471EA">
        <w:rPr>
          <w:rFonts w:ascii="Times New Roman" w:hAnsi="Times New Roman" w:cs="Times New Roman"/>
          <w:b/>
        </w:rPr>
        <w:t>de 2025</w:t>
      </w:r>
    </w:p>
    <w:p w14:paraId="31332101" w14:textId="77777777" w:rsidR="00AA07CE" w:rsidRPr="005E6C42" w:rsidRDefault="00AA07CE" w:rsidP="00DD782C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DA234EA" w14:textId="619E5AB7" w:rsidR="00C10F9E" w:rsidRPr="005E6C42" w:rsidRDefault="002A45FF" w:rsidP="002A45FF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O presidente da Diretoria Executiva Nacional (DEN) do Sindicato Nacional dos Analistas-Tributários da Receita Federal do Brasil (Sindireceita), no uso de suas atribuições estatutárias contidas no artigo 74, inciso X e no artigo 73, inciso VIII, em conjunto com o presidente do Conselho Nacional de Representantes Estaduais do Sindicato Nacional dos Analistas-Tributários da Receita Federal do Brasil (CNRE) no uso de suas atribuições estatutárias contidas no artigo 71, inciso V</w:t>
      </w:r>
      <w:r w:rsidR="00716174">
        <w:rPr>
          <w:rFonts w:ascii="Times New Roman" w:hAnsi="Times New Roman" w:cs="Times New Roman"/>
          <w:bCs/>
        </w:rPr>
        <w:t>, em caráter excepcionalíssimo e sujeito à aprovação desta própria assembleia</w:t>
      </w:r>
      <w:r w:rsidRPr="005E6C42">
        <w:rPr>
          <w:rFonts w:ascii="Times New Roman" w:hAnsi="Times New Roman" w:cs="Times New Roman"/>
          <w:bCs/>
        </w:rPr>
        <w:t xml:space="preserve">, </w:t>
      </w:r>
      <w:r w:rsidRPr="005E6C42">
        <w:rPr>
          <w:rFonts w:ascii="Times New Roman" w:hAnsi="Times New Roman" w:cs="Times New Roman"/>
          <w:b/>
        </w:rPr>
        <w:t>CONVOCAM</w:t>
      </w:r>
      <w:r w:rsidRPr="005E6C42">
        <w:rPr>
          <w:rFonts w:ascii="Times New Roman" w:hAnsi="Times New Roman" w:cs="Times New Roman"/>
          <w:bCs/>
        </w:rPr>
        <w:t xml:space="preserve"> a base de filiados ao Sindireceita, nos termos do que reza o artigo 14, § 2º do Estatuto, a comparecer à Assembleia Geral Nacional Unificada (AGNU), a realizar-se </w:t>
      </w:r>
      <w:r w:rsidR="00914A57">
        <w:rPr>
          <w:rFonts w:ascii="Times New Roman" w:hAnsi="Times New Roman" w:cs="Times New Roman"/>
          <w:b/>
          <w:bCs/>
        </w:rPr>
        <w:t>a partir das 11</w:t>
      </w:r>
      <w:r w:rsidR="00914A57" w:rsidRPr="00914A57">
        <w:rPr>
          <w:rFonts w:ascii="Times New Roman" w:hAnsi="Times New Roman" w:cs="Times New Roman"/>
          <w:b/>
          <w:bCs/>
        </w:rPr>
        <w:t xml:space="preserve">hs </w:t>
      </w:r>
      <w:r w:rsidR="00850279" w:rsidRPr="00914A57">
        <w:rPr>
          <w:rFonts w:ascii="Times New Roman" w:hAnsi="Times New Roman" w:cs="Times New Roman"/>
          <w:b/>
        </w:rPr>
        <w:t xml:space="preserve">do </w:t>
      </w:r>
      <w:r w:rsidR="00914A57" w:rsidRPr="00C471EA">
        <w:rPr>
          <w:rFonts w:ascii="Times New Roman" w:hAnsi="Times New Roman" w:cs="Times New Roman"/>
          <w:b/>
        </w:rPr>
        <w:t xml:space="preserve">dia </w:t>
      </w:r>
      <w:r w:rsidR="00914A57">
        <w:rPr>
          <w:rFonts w:ascii="Times New Roman" w:hAnsi="Times New Roman" w:cs="Times New Roman"/>
          <w:b/>
        </w:rPr>
        <w:t>03</w:t>
      </w:r>
      <w:r w:rsidR="00914A57" w:rsidRPr="00C471EA">
        <w:rPr>
          <w:rFonts w:ascii="Times New Roman" w:hAnsi="Times New Roman" w:cs="Times New Roman"/>
          <w:b/>
        </w:rPr>
        <w:t xml:space="preserve"> </w:t>
      </w:r>
      <w:r w:rsidR="00914A57">
        <w:rPr>
          <w:rFonts w:ascii="Times New Roman" w:hAnsi="Times New Roman" w:cs="Times New Roman"/>
          <w:b/>
        </w:rPr>
        <w:t>às 15hs do</w:t>
      </w:r>
      <w:r w:rsidR="00914A57">
        <w:rPr>
          <w:rFonts w:ascii="Times New Roman" w:hAnsi="Times New Roman" w:cs="Times New Roman"/>
          <w:b/>
        </w:rPr>
        <w:t xml:space="preserve"> </w:t>
      </w:r>
      <w:r w:rsidR="00914A57" w:rsidRPr="00C471EA">
        <w:rPr>
          <w:rFonts w:ascii="Times New Roman" w:hAnsi="Times New Roman" w:cs="Times New Roman"/>
          <w:b/>
        </w:rPr>
        <w:t xml:space="preserve">dia </w:t>
      </w:r>
      <w:r w:rsidR="00914A57">
        <w:rPr>
          <w:rFonts w:ascii="Times New Roman" w:hAnsi="Times New Roman" w:cs="Times New Roman"/>
          <w:b/>
        </w:rPr>
        <w:t>05</w:t>
      </w:r>
      <w:r w:rsidR="00914A57" w:rsidRPr="00C471EA">
        <w:rPr>
          <w:rFonts w:ascii="Times New Roman" w:hAnsi="Times New Roman" w:cs="Times New Roman"/>
          <w:b/>
        </w:rPr>
        <w:t xml:space="preserve"> de </w:t>
      </w:r>
      <w:r w:rsidR="00914A57">
        <w:rPr>
          <w:rFonts w:ascii="Times New Roman" w:hAnsi="Times New Roman" w:cs="Times New Roman"/>
          <w:b/>
        </w:rPr>
        <w:t xml:space="preserve">novembro </w:t>
      </w:r>
      <w:r w:rsidR="00914A57" w:rsidRPr="00C471EA">
        <w:rPr>
          <w:rFonts w:ascii="Times New Roman" w:hAnsi="Times New Roman" w:cs="Times New Roman"/>
          <w:b/>
        </w:rPr>
        <w:t>de 2025</w:t>
      </w:r>
      <w:r w:rsidR="0023138E">
        <w:rPr>
          <w:rFonts w:ascii="Times New Roman" w:hAnsi="Times New Roman" w:cs="Times New Roman"/>
          <w:bCs/>
        </w:rPr>
        <w:t xml:space="preserve"> (horário de Brasília/DF)</w:t>
      </w:r>
      <w:r w:rsidR="00C10F9E" w:rsidRPr="005E6C42">
        <w:rPr>
          <w:rFonts w:ascii="Times New Roman" w:hAnsi="Times New Roman" w:cs="Times New Roman"/>
          <w:bCs/>
        </w:rPr>
        <w:t>.</w:t>
      </w:r>
    </w:p>
    <w:p w14:paraId="2DE92AB2" w14:textId="5BA8C61B" w:rsidR="008B5F25" w:rsidRPr="005E6C42" w:rsidRDefault="008B5F25" w:rsidP="00D1679F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 xml:space="preserve">As Delegacias Sindicais, </w:t>
      </w:r>
      <w:r w:rsidRPr="005E6C42">
        <w:rPr>
          <w:rFonts w:ascii="Times New Roman" w:hAnsi="Times New Roman" w:cs="Times New Roman"/>
          <w:b/>
          <w:u w:val="single"/>
        </w:rPr>
        <w:t>respeitando as suas respectivas circunscrições</w:t>
      </w:r>
      <w:r w:rsidRPr="005E6C42">
        <w:rPr>
          <w:rFonts w:ascii="Times New Roman" w:hAnsi="Times New Roman" w:cs="Times New Roman"/>
          <w:bCs/>
        </w:rPr>
        <w:t xml:space="preserve">, poderão realizar as respectivas assembleias nas modalidades presencial ou telepresencial (Resolução DEN nº 1/2021, referendada pela XVI AGN), devendo cada Edital Complementar ser divulgado por meio do sistema de assembleias, disponível no sítio </w:t>
      </w:r>
      <w:r w:rsidR="00C46BCC" w:rsidRPr="005E6C42">
        <w:rPr>
          <w:rFonts w:ascii="Times New Roman" w:hAnsi="Times New Roman" w:cs="Times New Roman"/>
          <w:bCs/>
        </w:rPr>
        <w:t>https://legado.sindireceita.org.br/eventos</w:t>
      </w:r>
      <w:r w:rsidRPr="005E6C42">
        <w:rPr>
          <w:rFonts w:ascii="Times New Roman" w:hAnsi="Times New Roman" w:cs="Times New Roman"/>
          <w:bCs/>
        </w:rPr>
        <w:t>, indicando a(s) data(s) e o(s) horário(s) de realização, bem como o(s) local(</w:t>
      </w:r>
      <w:proofErr w:type="spellStart"/>
      <w:r w:rsidRPr="005E6C42">
        <w:rPr>
          <w:rFonts w:ascii="Times New Roman" w:hAnsi="Times New Roman" w:cs="Times New Roman"/>
          <w:bCs/>
        </w:rPr>
        <w:t>is</w:t>
      </w:r>
      <w:proofErr w:type="spellEnd"/>
      <w:r w:rsidRPr="005E6C42">
        <w:rPr>
          <w:rFonts w:ascii="Times New Roman" w:hAnsi="Times New Roman" w:cs="Times New Roman"/>
          <w:bCs/>
        </w:rPr>
        <w:t>), para a modalidade presencial, para deliberar, nos termos do que determina o artigo 70, incisos I e IV, do Estatuto, sobre a pauta que segue:</w:t>
      </w:r>
    </w:p>
    <w:p w14:paraId="3184C3C6" w14:textId="77777777" w:rsidR="002D187B" w:rsidRDefault="00D1679F" w:rsidP="001F2BB9">
      <w:pPr>
        <w:pStyle w:val="PargrafodaLista"/>
        <w:numPr>
          <w:ilvl w:val="0"/>
          <w:numId w:val="11"/>
        </w:numPr>
        <w:suppressAutoHyphens w:val="0"/>
        <w:spacing w:before="0" w:after="0" w:line="360" w:lineRule="auto"/>
        <w:ind w:left="714" w:hanging="357"/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</w:pPr>
      <w:r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Regime Permanente de Assembleia Geral Nacional Unificada;</w:t>
      </w:r>
      <w:r w:rsidR="00593551" w:rsidRPr="005E6C42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</w:t>
      </w:r>
    </w:p>
    <w:p w14:paraId="6CA44357" w14:textId="7E88EE92" w:rsidR="002D187B" w:rsidRPr="002D187B" w:rsidRDefault="002171AB" w:rsidP="003567B0">
      <w:pPr>
        <w:pStyle w:val="PargrafodaLista"/>
        <w:numPr>
          <w:ilvl w:val="0"/>
          <w:numId w:val="11"/>
        </w:numPr>
        <w:suppressAutoHyphens w:val="0"/>
        <w:spacing w:before="0"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</w:pPr>
      <w:r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Flexibilização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do prazo estatutário para convocação de AGNU (art</w:t>
      </w:r>
      <w:r w:rsid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.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31 do Estatuto do Sindireceita, </w:t>
      </w:r>
      <w:r w:rsidR="00890744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referente o 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prazo de dez dias), em relação unicamente a esta própria assembleia, diante do cenário excepcional imposto por agente externo (Governo Federal) para avaliação da proposta </w:t>
      </w:r>
      <w:r w:rsidR="00E9089A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de reajuste dos benefícios dos servidores públicos federais apresentada pelo 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Ministério da Gestão e da Inovação em Serviços Públicos (MGI);</w:t>
      </w:r>
    </w:p>
    <w:p w14:paraId="04091C1F" w14:textId="7A2C4513" w:rsidR="00D1679F" w:rsidRPr="005E6C42" w:rsidRDefault="002171AB" w:rsidP="002B4457">
      <w:pPr>
        <w:pStyle w:val="PargrafodaLista"/>
        <w:numPr>
          <w:ilvl w:val="0"/>
          <w:numId w:val="11"/>
        </w:numPr>
        <w:suppressAutoHyphens w:val="0"/>
        <w:spacing w:before="0"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</w:pPr>
      <w:r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lastRenderedPageBreak/>
        <w:t xml:space="preserve">Deliberação sobre a 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proposta encaminhada pelo Governo Federal</w:t>
      </w:r>
      <w:r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para o 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reajuste </w:t>
      </w:r>
      <w:r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dos benefícios dos servidores públicos federais</w:t>
      </w:r>
      <w:r w:rsidR="00144A1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, </w:t>
      </w:r>
      <w:r w:rsidR="00B14870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relativos ao </w:t>
      </w:r>
      <w:r w:rsidR="00144A1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auxílio-alimentação, </w:t>
      </w:r>
      <w:r w:rsidR="00B14870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a</w:t>
      </w:r>
      <w:r w:rsidR="00144A1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o auxílio-creche e </w:t>
      </w:r>
      <w:r w:rsidR="00B14870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à</w:t>
      </w:r>
      <w:r w:rsidR="00144A1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 assistência à saúde </w:t>
      </w:r>
      <w:r w:rsidR="00B14870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 xml:space="preserve">suplementar </w:t>
      </w:r>
      <w:r w:rsidR="00144A1E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per capita</w:t>
      </w:r>
      <w:r w:rsidR="002D187B" w:rsidRPr="002D187B">
        <w:rPr>
          <w:rFonts w:ascii="TimesNewRomanPS-BoldMT" w:eastAsia="Times New Roman" w:hAnsi="TimesNewRomanPS-BoldMT" w:cs="Times New Roman"/>
          <w:b/>
          <w:bCs/>
          <w:kern w:val="0"/>
          <w:lang w:eastAsia="pt-BR" w:bidi="ar-SA"/>
        </w:rPr>
        <w:t>.</w:t>
      </w:r>
    </w:p>
    <w:p w14:paraId="19CD72B1" w14:textId="7F458ECF" w:rsidR="001A2246" w:rsidRDefault="001F2BB9" w:rsidP="005139B4">
      <w:pPr>
        <w:spacing w:before="24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Nos termos da Resolução nº 16/2023 do L</w:t>
      </w:r>
      <w:r w:rsidR="003512CE" w:rsidRPr="005E6C42">
        <w:rPr>
          <w:rFonts w:ascii="Times New Roman" w:hAnsi="Times New Roman" w:cs="Times New Roman"/>
          <w:bCs/>
        </w:rPr>
        <w:t>X</w:t>
      </w:r>
      <w:r w:rsidRPr="005E6C42">
        <w:rPr>
          <w:rFonts w:ascii="Times New Roman" w:hAnsi="Times New Roman" w:cs="Times New Roman"/>
          <w:bCs/>
        </w:rPr>
        <w:t xml:space="preserve">XXIII CNRE, as Assembleias Complementares das delegacias sindicais deverão ocorrer, obrigatoriamente, </w:t>
      </w:r>
      <w:r w:rsidR="009021AB" w:rsidRPr="009021AB">
        <w:rPr>
          <w:rFonts w:ascii="Times New Roman" w:hAnsi="Times New Roman" w:cs="Times New Roman"/>
          <w:b/>
          <w:u w:val="single"/>
        </w:rPr>
        <w:t xml:space="preserve">do dia </w:t>
      </w:r>
      <w:r w:rsidR="00914A57">
        <w:rPr>
          <w:rFonts w:ascii="Times New Roman" w:hAnsi="Times New Roman" w:cs="Times New Roman"/>
          <w:b/>
          <w:u w:val="single"/>
        </w:rPr>
        <w:t>03</w:t>
      </w:r>
      <w:r w:rsidR="009021AB" w:rsidRPr="009021AB">
        <w:rPr>
          <w:rFonts w:ascii="Times New Roman" w:hAnsi="Times New Roman" w:cs="Times New Roman"/>
          <w:b/>
          <w:u w:val="single"/>
        </w:rPr>
        <w:t xml:space="preserve"> </w:t>
      </w:r>
      <w:r w:rsidR="00C74BDE">
        <w:rPr>
          <w:rFonts w:ascii="Times New Roman" w:hAnsi="Times New Roman" w:cs="Times New Roman"/>
          <w:b/>
          <w:u w:val="single"/>
        </w:rPr>
        <w:t>a</w:t>
      </w:r>
      <w:r w:rsidR="009021AB" w:rsidRPr="009021AB">
        <w:rPr>
          <w:rFonts w:ascii="Times New Roman" w:hAnsi="Times New Roman" w:cs="Times New Roman"/>
          <w:b/>
          <w:u w:val="single"/>
        </w:rPr>
        <w:t xml:space="preserve">o dia </w:t>
      </w:r>
      <w:r w:rsidR="00914A57">
        <w:rPr>
          <w:rFonts w:ascii="Times New Roman" w:hAnsi="Times New Roman" w:cs="Times New Roman"/>
          <w:b/>
          <w:u w:val="single"/>
        </w:rPr>
        <w:t>05</w:t>
      </w:r>
      <w:r w:rsidR="009021AB" w:rsidRPr="009021AB">
        <w:rPr>
          <w:rFonts w:ascii="Times New Roman" w:hAnsi="Times New Roman" w:cs="Times New Roman"/>
          <w:b/>
          <w:u w:val="single"/>
        </w:rPr>
        <w:t xml:space="preserve"> de novembro de 2025</w:t>
      </w:r>
      <w:r w:rsidRPr="005E6C42">
        <w:rPr>
          <w:rFonts w:ascii="Times New Roman" w:hAnsi="Times New Roman" w:cs="Times New Roman"/>
          <w:bCs/>
        </w:rPr>
        <w:t>,</w:t>
      </w:r>
      <w:r w:rsidR="004C57CB">
        <w:rPr>
          <w:rFonts w:ascii="Times New Roman" w:hAnsi="Times New Roman" w:cs="Times New Roman"/>
          <w:bCs/>
        </w:rPr>
        <w:t xml:space="preserve"> p</w:t>
      </w:r>
      <w:r w:rsidR="004C57CB" w:rsidRPr="005E6C42">
        <w:rPr>
          <w:rFonts w:ascii="Times New Roman" w:hAnsi="Times New Roman" w:cs="Times New Roman"/>
          <w:bCs/>
        </w:rPr>
        <w:t>e</w:t>
      </w:r>
      <w:r w:rsidR="004C57CB">
        <w:rPr>
          <w:rFonts w:ascii="Times New Roman" w:hAnsi="Times New Roman" w:cs="Times New Roman"/>
          <w:bCs/>
        </w:rPr>
        <w:t>ríodo em que tamb</w:t>
      </w:r>
      <w:r w:rsidR="00C34AB3">
        <w:rPr>
          <w:rFonts w:ascii="Times New Roman" w:hAnsi="Times New Roman" w:cs="Times New Roman"/>
          <w:bCs/>
        </w:rPr>
        <w:t xml:space="preserve">ém deverá ser realizada </w:t>
      </w:r>
      <w:r w:rsidR="004C57CB" w:rsidRPr="005E6C42">
        <w:rPr>
          <w:rFonts w:ascii="Times New Roman" w:hAnsi="Times New Roman" w:cs="Times New Roman"/>
          <w:b/>
          <w:u w:val="single"/>
        </w:rPr>
        <w:t xml:space="preserve">a votação </w:t>
      </w:r>
      <w:r w:rsidR="00177A4E">
        <w:rPr>
          <w:rFonts w:ascii="Times New Roman" w:hAnsi="Times New Roman" w:cs="Times New Roman"/>
          <w:b/>
          <w:u w:val="single"/>
        </w:rPr>
        <w:t xml:space="preserve">dos indicativos propostos, </w:t>
      </w:r>
      <w:r w:rsidR="004C57CB" w:rsidRPr="005E6C42">
        <w:rPr>
          <w:rFonts w:ascii="Times New Roman" w:hAnsi="Times New Roman" w:cs="Times New Roman"/>
          <w:b/>
          <w:u w:val="single"/>
        </w:rPr>
        <w:t>simultaneamente à realização das AGNU Complementares</w:t>
      </w:r>
      <w:r w:rsidR="004C57CB" w:rsidRPr="005E6C42">
        <w:rPr>
          <w:rFonts w:ascii="Times New Roman" w:hAnsi="Times New Roman" w:cs="Times New Roman"/>
          <w:bCs/>
        </w:rPr>
        <w:t xml:space="preserve">, por meio do </w:t>
      </w:r>
      <w:r w:rsidR="004C57CB" w:rsidRPr="005E6C42">
        <w:rPr>
          <w:rFonts w:ascii="Times New Roman" w:hAnsi="Times New Roman" w:cs="Times New Roman"/>
          <w:b/>
          <w:u w:val="single"/>
        </w:rPr>
        <w:t xml:space="preserve">sistema eletrônico de votações do Sindireceita, que será aberto a partir das </w:t>
      </w:r>
      <w:r w:rsidR="00914A57">
        <w:rPr>
          <w:rFonts w:ascii="Times New Roman" w:hAnsi="Times New Roman" w:cs="Times New Roman"/>
          <w:b/>
          <w:u w:val="single"/>
        </w:rPr>
        <w:t>11</w:t>
      </w:r>
      <w:r w:rsidR="004C57CB" w:rsidRPr="009021AB">
        <w:rPr>
          <w:rFonts w:ascii="Times New Roman" w:hAnsi="Times New Roman" w:cs="Times New Roman"/>
          <w:b/>
          <w:u w:val="single"/>
        </w:rPr>
        <w:t xml:space="preserve">h do dia </w:t>
      </w:r>
      <w:r w:rsidR="00914A57">
        <w:rPr>
          <w:rFonts w:ascii="Times New Roman" w:hAnsi="Times New Roman" w:cs="Times New Roman"/>
          <w:b/>
          <w:u w:val="single"/>
        </w:rPr>
        <w:t>03</w:t>
      </w:r>
      <w:r w:rsidR="00B14870">
        <w:rPr>
          <w:rFonts w:ascii="Times New Roman" w:hAnsi="Times New Roman" w:cs="Times New Roman"/>
          <w:b/>
          <w:u w:val="single"/>
        </w:rPr>
        <w:t xml:space="preserve"> </w:t>
      </w:r>
      <w:r w:rsidR="00914A57">
        <w:rPr>
          <w:rFonts w:ascii="Times New Roman" w:hAnsi="Times New Roman" w:cs="Times New Roman"/>
          <w:b/>
          <w:u w:val="single"/>
        </w:rPr>
        <w:t>às 15</w:t>
      </w:r>
      <w:r w:rsidR="004C57CB" w:rsidRPr="009021AB">
        <w:rPr>
          <w:rFonts w:ascii="Times New Roman" w:hAnsi="Times New Roman" w:cs="Times New Roman"/>
          <w:b/>
          <w:u w:val="single"/>
        </w:rPr>
        <w:t xml:space="preserve">h do dia </w:t>
      </w:r>
      <w:r w:rsidR="00914A57">
        <w:rPr>
          <w:rFonts w:ascii="Times New Roman" w:hAnsi="Times New Roman" w:cs="Times New Roman"/>
          <w:b/>
          <w:u w:val="single"/>
        </w:rPr>
        <w:t>05</w:t>
      </w:r>
      <w:bookmarkStart w:id="1" w:name="_GoBack"/>
      <w:bookmarkEnd w:id="1"/>
      <w:r w:rsidR="004C57CB" w:rsidRPr="009021AB">
        <w:rPr>
          <w:rFonts w:ascii="Times New Roman" w:hAnsi="Times New Roman" w:cs="Times New Roman"/>
          <w:b/>
          <w:u w:val="single"/>
        </w:rPr>
        <w:t xml:space="preserve"> de novembro de 2025</w:t>
      </w:r>
      <w:r w:rsidR="00645290">
        <w:rPr>
          <w:rFonts w:ascii="Times New Roman" w:hAnsi="Times New Roman" w:cs="Times New Roman"/>
          <w:bCs/>
        </w:rPr>
        <w:t xml:space="preserve"> (horário de Brasília/DF), </w:t>
      </w:r>
      <w:r w:rsidRPr="005E6C42">
        <w:rPr>
          <w:rFonts w:ascii="Times New Roman" w:hAnsi="Times New Roman" w:cs="Times New Roman"/>
          <w:bCs/>
        </w:rPr>
        <w:t xml:space="preserve">em face do caráter urgente da AGNU </w:t>
      </w:r>
      <w:r w:rsidRPr="00A65416">
        <w:rPr>
          <w:rFonts w:ascii="Times New Roman" w:hAnsi="Times New Roman" w:cs="Times New Roman"/>
          <w:bCs/>
        </w:rPr>
        <w:t xml:space="preserve">decorrente </w:t>
      </w:r>
      <w:r w:rsidR="0032341C">
        <w:rPr>
          <w:rFonts w:ascii="Times New Roman" w:hAnsi="Times New Roman" w:cs="Times New Roman"/>
          <w:bCs/>
        </w:rPr>
        <w:t xml:space="preserve">do prazo </w:t>
      </w:r>
      <w:r w:rsidR="009603C1" w:rsidRPr="00A65416">
        <w:rPr>
          <w:rFonts w:ascii="Times New Roman" w:hAnsi="Times New Roman" w:cs="Times New Roman"/>
          <w:bCs/>
        </w:rPr>
        <w:t>e</w:t>
      </w:r>
      <w:r w:rsidR="0032341C">
        <w:rPr>
          <w:rFonts w:ascii="Times New Roman" w:hAnsi="Times New Roman" w:cs="Times New Roman"/>
          <w:bCs/>
        </w:rPr>
        <w:t xml:space="preserve">stipulado </w:t>
      </w:r>
      <w:r w:rsidR="009603C1" w:rsidRPr="00A65416">
        <w:rPr>
          <w:rFonts w:ascii="Times New Roman" w:hAnsi="Times New Roman" w:cs="Times New Roman"/>
          <w:bCs/>
        </w:rPr>
        <w:t xml:space="preserve">pelo </w:t>
      </w:r>
      <w:r w:rsidR="0032341C">
        <w:rPr>
          <w:rFonts w:ascii="Times New Roman" w:hAnsi="Times New Roman" w:cs="Times New Roman"/>
          <w:bCs/>
        </w:rPr>
        <w:t>MGI para a r</w:t>
      </w:r>
      <w:r w:rsidR="009603C1" w:rsidRPr="00A65416">
        <w:rPr>
          <w:rFonts w:ascii="Times New Roman" w:hAnsi="Times New Roman" w:cs="Times New Roman"/>
          <w:bCs/>
        </w:rPr>
        <w:t>e</w:t>
      </w:r>
      <w:r w:rsidR="00E10EF9">
        <w:rPr>
          <w:rFonts w:ascii="Times New Roman" w:hAnsi="Times New Roman" w:cs="Times New Roman"/>
          <w:bCs/>
        </w:rPr>
        <w:t xml:space="preserve">sposta à sua proposta </w:t>
      </w:r>
      <w:r w:rsidR="00B14870">
        <w:rPr>
          <w:rFonts w:ascii="Times New Roman" w:hAnsi="Times New Roman" w:cs="Times New Roman"/>
          <w:bCs/>
        </w:rPr>
        <w:t xml:space="preserve">de </w:t>
      </w:r>
      <w:r w:rsidR="00B14870" w:rsidRPr="00B14870">
        <w:rPr>
          <w:rFonts w:ascii="Times New Roman" w:hAnsi="Times New Roman" w:cs="Times New Roman"/>
          <w:bCs/>
        </w:rPr>
        <w:t>reajuste dos benefícios dos servidores públicos federais</w:t>
      </w:r>
      <w:r w:rsidR="00E10EF9">
        <w:rPr>
          <w:rFonts w:ascii="Times New Roman" w:hAnsi="Times New Roman" w:cs="Times New Roman"/>
          <w:bCs/>
        </w:rPr>
        <w:t>, apresentad</w:t>
      </w:r>
      <w:r w:rsidR="00B14870">
        <w:rPr>
          <w:rFonts w:ascii="Times New Roman" w:hAnsi="Times New Roman" w:cs="Times New Roman"/>
          <w:bCs/>
        </w:rPr>
        <w:t>a</w:t>
      </w:r>
      <w:r w:rsidR="00E10EF9">
        <w:rPr>
          <w:rFonts w:ascii="Times New Roman" w:hAnsi="Times New Roman" w:cs="Times New Roman"/>
          <w:bCs/>
        </w:rPr>
        <w:t xml:space="preserve"> na </w:t>
      </w:r>
      <w:r w:rsidR="00B60755" w:rsidRPr="00B60755">
        <w:rPr>
          <w:rFonts w:ascii="Times New Roman" w:hAnsi="Times New Roman" w:cs="Times New Roman"/>
          <w:bCs/>
        </w:rPr>
        <w:t xml:space="preserve">12ª Reunião da Mesa Nacional de Negociação Permanente (MNNP), realizada </w:t>
      </w:r>
      <w:r w:rsidR="001A2246">
        <w:rPr>
          <w:rFonts w:ascii="Times New Roman" w:hAnsi="Times New Roman" w:cs="Times New Roman"/>
          <w:bCs/>
        </w:rPr>
        <w:t xml:space="preserve">no último dia </w:t>
      </w:r>
      <w:r w:rsidR="00B60755" w:rsidRPr="00B60755">
        <w:rPr>
          <w:rFonts w:ascii="Times New Roman" w:hAnsi="Times New Roman" w:cs="Times New Roman"/>
          <w:bCs/>
        </w:rPr>
        <w:t>22 de outubro</w:t>
      </w:r>
      <w:r w:rsidRPr="005E6C42">
        <w:rPr>
          <w:rFonts w:ascii="Times New Roman" w:hAnsi="Times New Roman" w:cs="Times New Roman"/>
          <w:bCs/>
        </w:rPr>
        <w:t>.</w:t>
      </w:r>
    </w:p>
    <w:p w14:paraId="3394EDA5" w14:textId="77777777" w:rsidR="001E2FD5" w:rsidRDefault="005139B4" w:rsidP="001E2FD5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A decisão da Assembleia Geral Nacional Unificada (AGNU), como órgão máximo do Sindireceita,</w:t>
      </w:r>
      <w:r w:rsidR="00C24906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nos termos contidos no artigo 14, caput, do Estatuto, independentemente do comparecimento do total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dos filiados ao Sindireceita, obedecido o quórum mínimo de 10% (dez por cento) dos filiados ativos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e aposentados, nos termos do parágrafo único do art. 32 do Estatuto, implicará concordância tácita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dos ausentes com o resultado das deliberações.</w:t>
      </w:r>
    </w:p>
    <w:p w14:paraId="138D8AB6" w14:textId="77777777" w:rsidR="001E2FD5" w:rsidRDefault="005139B4" w:rsidP="001E2FD5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A convocação e realização de AGNU complementar pelos Delegados Sindicais é obrigatória (art. 31,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§ 11º, do Estatuto do Sindireceita). A não realização de duas AGNU consecutivas sem a devida</w:t>
      </w:r>
      <w:r w:rsidR="00BB6FF8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justificativa implicará a aplicação de sanções à respectiva DS (artigo 31, § 14º, Estatuto).</w:t>
      </w:r>
    </w:p>
    <w:p w14:paraId="04C859A0" w14:textId="21BABA65" w:rsidR="005139B4" w:rsidRPr="005E6C42" w:rsidRDefault="005139B4" w:rsidP="001E2FD5">
      <w:pPr>
        <w:spacing w:before="0" w:after="24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>Não sendo realizada a AGNU, a Delegacia Sindical deverá encaminhar memorando com justificativa</w:t>
      </w:r>
      <w:r w:rsidRPr="005E6C42">
        <w:rPr>
          <w:rFonts w:ascii="Times New Roman" w:hAnsi="Times New Roman" w:cs="Times New Roman"/>
          <w:bCs/>
        </w:rPr>
        <w:cr/>
      </w:r>
      <w:r w:rsidRPr="005E6C42">
        <w:rPr>
          <w:rFonts w:ascii="Times New Roman" w:hAnsi="Times New Roman" w:cs="Times New Roman"/>
          <w:b/>
          <w:u w:val="single"/>
        </w:rPr>
        <w:t xml:space="preserve">até às 18h do dia </w:t>
      </w:r>
      <w:r w:rsidR="00EB6DC3">
        <w:rPr>
          <w:rFonts w:ascii="Times New Roman" w:hAnsi="Times New Roman" w:cs="Times New Roman"/>
          <w:b/>
          <w:u w:val="single"/>
        </w:rPr>
        <w:t>7</w:t>
      </w:r>
      <w:r w:rsidRPr="005E6C42">
        <w:rPr>
          <w:rFonts w:ascii="Times New Roman" w:hAnsi="Times New Roman" w:cs="Times New Roman"/>
          <w:b/>
          <w:u w:val="single"/>
        </w:rPr>
        <w:t xml:space="preserve"> de </w:t>
      </w:r>
      <w:r w:rsidR="00EB6DC3">
        <w:rPr>
          <w:rFonts w:ascii="Times New Roman" w:hAnsi="Times New Roman" w:cs="Times New Roman"/>
          <w:b/>
          <w:u w:val="single"/>
        </w:rPr>
        <w:t xml:space="preserve">novembro </w:t>
      </w:r>
      <w:r w:rsidRPr="005E6C42">
        <w:rPr>
          <w:rFonts w:ascii="Times New Roman" w:hAnsi="Times New Roman" w:cs="Times New Roman"/>
          <w:b/>
          <w:u w:val="single"/>
        </w:rPr>
        <w:t>de 202</w:t>
      </w:r>
      <w:r w:rsidR="0035372E" w:rsidRPr="005E6C42">
        <w:rPr>
          <w:rFonts w:ascii="Times New Roman" w:hAnsi="Times New Roman" w:cs="Times New Roman"/>
          <w:b/>
          <w:u w:val="single"/>
        </w:rPr>
        <w:t>5</w:t>
      </w:r>
      <w:r w:rsidRPr="005E6C42">
        <w:rPr>
          <w:rFonts w:ascii="Times New Roman" w:hAnsi="Times New Roman" w:cs="Times New Roman"/>
          <w:bCs/>
        </w:rPr>
        <w:t>, para o endereço de e-mail</w:t>
      </w:r>
      <w:r w:rsidR="00BB6FF8" w:rsidRPr="005E6C42">
        <w:rPr>
          <w:rFonts w:ascii="Times New Roman" w:hAnsi="Times New Roman" w:cs="Times New Roman"/>
          <w:bCs/>
        </w:rPr>
        <w:t xml:space="preserve"> s</w:t>
      </w:r>
      <w:r w:rsidRPr="005E6C42">
        <w:rPr>
          <w:rFonts w:ascii="Times New Roman" w:hAnsi="Times New Roman" w:cs="Times New Roman"/>
          <w:bCs/>
        </w:rPr>
        <w:t>ecretaria.geral@sindireceita.org.br, conforme artigo 31, § 11º, do Estatuto. Os editais</w:t>
      </w:r>
      <w:r w:rsidR="0035372E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complementares das DS devem ser publicados pelos próprios delegados sindicais, de acordo com o</w:t>
      </w:r>
      <w:r w:rsidR="0035372E" w:rsidRPr="005E6C42">
        <w:rPr>
          <w:rFonts w:ascii="Times New Roman" w:hAnsi="Times New Roman" w:cs="Times New Roman"/>
          <w:bCs/>
        </w:rPr>
        <w:t xml:space="preserve"> </w:t>
      </w:r>
      <w:r w:rsidRPr="005E6C42">
        <w:rPr>
          <w:rFonts w:ascii="Times New Roman" w:hAnsi="Times New Roman" w:cs="Times New Roman"/>
          <w:bCs/>
        </w:rPr>
        <w:t>Estatuto.</w:t>
      </w:r>
    </w:p>
    <w:bookmarkEnd w:id="0"/>
    <w:p w14:paraId="4C936483" w14:textId="5D405545" w:rsidR="000B7583" w:rsidRPr="005E6C42" w:rsidRDefault="000B7583" w:rsidP="000B7583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6C42">
        <w:rPr>
          <w:rFonts w:ascii="Times New Roman" w:hAnsi="Times New Roman" w:cs="Times New Roman"/>
          <w:bCs/>
        </w:rPr>
        <w:t xml:space="preserve">Brasília/DF, </w:t>
      </w:r>
      <w:r w:rsidR="006D2600">
        <w:rPr>
          <w:rFonts w:ascii="Times New Roman" w:hAnsi="Times New Roman" w:cs="Times New Roman"/>
          <w:bCs/>
        </w:rPr>
        <w:t>30</w:t>
      </w:r>
      <w:r w:rsidRPr="005E6C42">
        <w:rPr>
          <w:rFonts w:ascii="Times New Roman" w:hAnsi="Times New Roman" w:cs="Times New Roman"/>
          <w:bCs/>
        </w:rPr>
        <w:t xml:space="preserve"> de </w:t>
      </w:r>
      <w:r w:rsidR="00EB6DC3">
        <w:rPr>
          <w:rFonts w:ascii="Times New Roman" w:hAnsi="Times New Roman" w:cs="Times New Roman"/>
          <w:bCs/>
        </w:rPr>
        <w:t xml:space="preserve">outubro </w:t>
      </w:r>
      <w:r w:rsidRPr="005E6C42">
        <w:rPr>
          <w:rFonts w:ascii="Times New Roman" w:hAnsi="Times New Roman" w:cs="Times New Roman"/>
          <w:bCs/>
        </w:rPr>
        <w:t>de 2025.</w:t>
      </w:r>
    </w:p>
    <w:p w14:paraId="4D83DC04" w14:textId="77777777" w:rsidR="000B7583" w:rsidRPr="005E6C42" w:rsidRDefault="000B7583" w:rsidP="000B7583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69C6AE8" w14:textId="77777777" w:rsidR="000B7583" w:rsidRPr="005E6C42" w:rsidRDefault="000B7583" w:rsidP="000B7583">
      <w:pPr>
        <w:spacing w:before="0" w:after="0"/>
        <w:rPr>
          <w:rFonts w:ascii="Times New Roman" w:hAnsi="Times New Roman" w:cs="Times New Roman"/>
          <w:b/>
        </w:rPr>
      </w:pPr>
      <w:r w:rsidRPr="005E6C42">
        <w:rPr>
          <w:rFonts w:ascii="Times New Roman" w:hAnsi="Times New Roman" w:cs="Times New Roman"/>
          <w:b/>
        </w:rPr>
        <w:t>Sindireceita</w:t>
      </w:r>
    </w:p>
    <w:p w14:paraId="49BE1DDF" w14:textId="77777777" w:rsidR="000B7583" w:rsidRPr="005E6C42" w:rsidRDefault="000B7583" w:rsidP="000B7583">
      <w:pPr>
        <w:spacing w:before="0" w:after="0"/>
        <w:rPr>
          <w:rFonts w:ascii="Times New Roman" w:hAnsi="Times New Roman" w:cs="Times New Roman"/>
          <w:bCs/>
          <w:i/>
          <w:iCs/>
        </w:rPr>
      </w:pPr>
      <w:r w:rsidRPr="005E6C42">
        <w:rPr>
          <w:rFonts w:ascii="Times New Roman" w:hAnsi="Times New Roman" w:cs="Times New Roman"/>
          <w:bCs/>
          <w:i/>
          <w:iCs/>
        </w:rPr>
        <w:t>Diretoria Executiva Nacional</w:t>
      </w:r>
    </w:p>
    <w:p w14:paraId="1D8CDAD1" w14:textId="4DB1C78E" w:rsidR="000B7583" w:rsidRPr="005E6C42" w:rsidRDefault="00536208" w:rsidP="000B7583">
      <w:pPr>
        <w:spacing w:before="0" w:after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Mesa Diretora do </w:t>
      </w:r>
      <w:r w:rsidR="000B7583" w:rsidRPr="005E6C42">
        <w:rPr>
          <w:rFonts w:ascii="Times New Roman" w:hAnsi="Times New Roman" w:cs="Times New Roman"/>
          <w:bCs/>
          <w:i/>
          <w:iCs/>
        </w:rPr>
        <w:t>Conselho Nacional de Representantes Estaduais</w:t>
      </w:r>
    </w:p>
    <w:p w14:paraId="41BC5C24" w14:textId="77777777" w:rsidR="00B00CB5" w:rsidRDefault="00B00CB5" w:rsidP="00DD782C">
      <w:pPr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sectPr w:rsidR="00B00CB5" w:rsidSect="00DF25E6">
      <w:headerReference w:type="default" r:id="rId8"/>
      <w:footerReference w:type="default" r:id="rId9"/>
      <w:pgSz w:w="11906" w:h="16838"/>
      <w:pgMar w:top="1702" w:right="1134" w:bottom="1418" w:left="1134" w:header="675" w:footer="0" w:gutter="0"/>
      <w:cols w:space="72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C5E2D" w14:textId="77777777" w:rsidR="009D31D4" w:rsidRDefault="009D31D4">
      <w:pPr>
        <w:spacing w:before="0" w:after="0"/>
      </w:pPr>
      <w:r>
        <w:separator/>
      </w:r>
    </w:p>
  </w:endnote>
  <w:endnote w:type="continuationSeparator" w:id="0">
    <w:p w14:paraId="18ACC5A3" w14:textId="77777777" w:rsidR="009D31D4" w:rsidRDefault="009D31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ibson Light">
    <w:altName w:val="Arial"/>
    <w:charset w:val="01"/>
    <w:family w:val="modern"/>
    <w:pitch w:val="variable"/>
  </w:font>
  <w:font w:name="Gibson">
    <w:altName w:val="Arial"/>
    <w:charset w:val="01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38"/>
    </w:tblGrid>
    <w:tr w:rsidR="0071029A" w14:paraId="5C525BB3" w14:textId="77777777">
      <w:trPr>
        <w:trHeight w:val="509"/>
      </w:trPr>
      <w:tc>
        <w:tcPr>
          <w:tcW w:w="9638" w:type="dxa"/>
          <w:tcBorders>
            <w:top w:val="single" w:sz="4" w:space="0" w:color="FFFF00"/>
            <w:bottom w:val="single" w:sz="4" w:space="0" w:color="FFFF00"/>
          </w:tcBorders>
          <w:shd w:val="clear" w:color="auto" w:fill="FFFFFF"/>
        </w:tcPr>
        <w:p w14:paraId="78BF41F5" w14:textId="77777777" w:rsidR="0071029A" w:rsidRDefault="0071029A">
          <w:pPr>
            <w:pStyle w:val="Rodap"/>
            <w:jc w:val="center"/>
          </w:pPr>
          <w:r>
            <w:rPr>
              <w:rFonts w:ascii="Gibson" w:hAnsi="Gibson" w:cs="Gibson"/>
              <w:color w:val="999999"/>
              <w:spacing w:val="-4"/>
              <w:sz w:val="18"/>
              <w:szCs w:val="18"/>
            </w:rPr>
            <w:t>S</w:t>
          </w:r>
          <w:r>
            <w:rPr>
              <w:rFonts w:ascii="Gibson" w:hAnsi="Gibson" w:cs="Gibson"/>
              <w:color w:val="808080"/>
              <w:spacing w:val="-4"/>
              <w:sz w:val="18"/>
              <w:szCs w:val="18"/>
            </w:rPr>
            <w:t>HCGN CR 702/703 Bloco E loja 37 | CEP 70720-650 | Brasília/DF | Tel.: (61) 3962-2300/3962-2301 | www.sindireceita.org.br</w:t>
          </w:r>
        </w:p>
      </w:tc>
    </w:tr>
  </w:tbl>
  <w:p w14:paraId="5E94BA11" w14:textId="77777777" w:rsidR="0071029A" w:rsidRDefault="0071029A">
    <w:pPr>
      <w:pStyle w:val="Rodap"/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E37A8" w14:textId="77777777" w:rsidR="009D31D4" w:rsidRDefault="009D31D4">
      <w:pPr>
        <w:spacing w:before="0" w:after="0"/>
      </w:pPr>
      <w:r>
        <w:separator/>
      </w:r>
    </w:p>
  </w:footnote>
  <w:footnote w:type="continuationSeparator" w:id="0">
    <w:p w14:paraId="5DB7D8E8" w14:textId="77777777" w:rsidR="009D31D4" w:rsidRDefault="009D31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C82C" w14:textId="59134AC4" w:rsidR="00C94A70" w:rsidRDefault="004C5A57" w:rsidP="00C94A70">
    <w:pPr>
      <w:pStyle w:val="Cabealho"/>
      <w:jc w:val="right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52ACD212" wp14:editId="75D720D4">
          <wp:simplePos x="0" y="0"/>
          <wp:positionH relativeFrom="column">
            <wp:posOffset>-158115</wp:posOffset>
          </wp:positionH>
          <wp:positionV relativeFrom="paragraph">
            <wp:posOffset>-184785</wp:posOffset>
          </wp:positionV>
          <wp:extent cx="2269490" cy="802640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802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A70">
      <w:rPr>
        <w:rFonts w:ascii="Gibson Light" w:hAnsi="Gibson Light" w:cs="Gibson Light"/>
        <w:b/>
        <w:bCs/>
        <w:color w:val="808080"/>
        <w:sz w:val="20"/>
        <w:szCs w:val="20"/>
      </w:rPr>
      <w:t>| Diretoria Executiva Nacional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36" w:hanging="270"/>
      </w:pPr>
      <w:rPr>
        <w:rFonts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0" w:hanging="27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1" w:hanging="27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1" w:hanging="27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2" w:hanging="27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42" w:hanging="27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3" w:hanging="27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3" w:hanging="27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84" w:hanging="270"/>
      </w:pPr>
      <w:rPr>
        <w:rFonts w:ascii="Symbol" w:hAnsi="Symbol" w:cs="Symbol"/>
        <w:lang w:val="pt-P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8E1DCF"/>
    <w:multiLevelType w:val="hybridMultilevel"/>
    <w:tmpl w:val="9264A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40B23"/>
    <w:multiLevelType w:val="hybridMultilevel"/>
    <w:tmpl w:val="494C6202"/>
    <w:lvl w:ilvl="0" w:tplc="DC7294B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24393"/>
    <w:multiLevelType w:val="multilevel"/>
    <w:tmpl w:val="5EB608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DB095A"/>
    <w:multiLevelType w:val="hybridMultilevel"/>
    <w:tmpl w:val="176A9886"/>
    <w:lvl w:ilvl="0" w:tplc="23EEE02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A372C03"/>
    <w:multiLevelType w:val="multilevel"/>
    <w:tmpl w:val="6734D3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B0D4806"/>
    <w:multiLevelType w:val="multilevel"/>
    <w:tmpl w:val="835CC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847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5D500A"/>
    <w:multiLevelType w:val="hybridMultilevel"/>
    <w:tmpl w:val="B7D8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70"/>
    <w:rsid w:val="000006E3"/>
    <w:rsid w:val="000009F9"/>
    <w:rsid w:val="000019F7"/>
    <w:rsid w:val="00002F80"/>
    <w:rsid w:val="00004505"/>
    <w:rsid w:val="000057C8"/>
    <w:rsid w:val="000107C1"/>
    <w:rsid w:val="00017FC7"/>
    <w:rsid w:val="00023318"/>
    <w:rsid w:val="000238D5"/>
    <w:rsid w:val="00026D2D"/>
    <w:rsid w:val="00031932"/>
    <w:rsid w:val="00040CB0"/>
    <w:rsid w:val="00042647"/>
    <w:rsid w:val="00042A08"/>
    <w:rsid w:val="000465C6"/>
    <w:rsid w:val="00047E8A"/>
    <w:rsid w:val="0007062D"/>
    <w:rsid w:val="00082661"/>
    <w:rsid w:val="00083FA3"/>
    <w:rsid w:val="000A2ABD"/>
    <w:rsid w:val="000A2DBC"/>
    <w:rsid w:val="000A3C4D"/>
    <w:rsid w:val="000A570C"/>
    <w:rsid w:val="000A6769"/>
    <w:rsid w:val="000B028C"/>
    <w:rsid w:val="000B104D"/>
    <w:rsid w:val="000B7583"/>
    <w:rsid w:val="000C0B79"/>
    <w:rsid w:val="000D1DDF"/>
    <w:rsid w:val="000F2ADF"/>
    <w:rsid w:val="000F7FD7"/>
    <w:rsid w:val="001007F3"/>
    <w:rsid w:val="00101FD3"/>
    <w:rsid w:val="00112509"/>
    <w:rsid w:val="001171CD"/>
    <w:rsid w:val="00124252"/>
    <w:rsid w:val="00125BE1"/>
    <w:rsid w:val="0013496B"/>
    <w:rsid w:val="00141522"/>
    <w:rsid w:val="00144A1E"/>
    <w:rsid w:val="00144F59"/>
    <w:rsid w:val="00153875"/>
    <w:rsid w:val="00164C8D"/>
    <w:rsid w:val="00173227"/>
    <w:rsid w:val="00177A4E"/>
    <w:rsid w:val="0018311C"/>
    <w:rsid w:val="00184EF9"/>
    <w:rsid w:val="00185606"/>
    <w:rsid w:val="001A2246"/>
    <w:rsid w:val="001A35F5"/>
    <w:rsid w:val="001A3BDF"/>
    <w:rsid w:val="001C051A"/>
    <w:rsid w:val="001C059F"/>
    <w:rsid w:val="001C7BA9"/>
    <w:rsid w:val="001D1474"/>
    <w:rsid w:val="001D5794"/>
    <w:rsid w:val="001D6DB9"/>
    <w:rsid w:val="001E2FD5"/>
    <w:rsid w:val="001F14C9"/>
    <w:rsid w:val="001F2BB9"/>
    <w:rsid w:val="001F4BFB"/>
    <w:rsid w:val="001F646F"/>
    <w:rsid w:val="002171AB"/>
    <w:rsid w:val="00226D35"/>
    <w:rsid w:val="0023138E"/>
    <w:rsid w:val="002314CA"/>
    <w:rsid w:val="00231DF3"/>
    <w:rsid w:val="0023435A"/>
    <w:rsid w:val="00236532"/>
    <w:rsid w:val="0024318E"/>
    <w:rsid w:val="002445A9"/>
    <w:rsid w:val="00244DA2"/>
    <w:rsid w:val="0024621C"/>
    <w:rsid w:val="00250965"/>
    <w:rsid w:val="00253A32"/>
    <w:rsid w:val="00254ED2"/>
    <w:rsid w:val="002573BE"/>
    <w:rsid w:val="002621B0"/>
    <w:rsid w:val="00263200"/>
    <w:rsid w:val="00266AD9"/>
    <w:rsid w:val="002737F2"/>
    <w:rsid w:val="00277F3A"/>
    <w:rsid w:val="00280482"/>
    <w:rsid w:val="002838C8"/>
    <w:rsid w:val="00283C01"/>
    <w:rsid w:val="00283FDB"/>
    <w:rsid w:val="00293C80"/>
    <w:rsid w:val="002A0C9D"/>
    <w:rsid w:val="002A45FF"/>
    <w:rsid w:val="002A4873"/>
    <w:rsid w:val="002A6DE8"/>
    <w:rsid w:val="002B4457"/>
    <w:rsid w:val="002D187B"/>
    <w:rsid w:val="002D5FE1"/>
    <w:rsid w:val="002E2C63"/>
    <w:rsid w:val="002F5922"/>
    <w:rsid w:val="002F6412"/>
    <w:rsid w:val="002F65CE"/>
    <w:rsid w:val="0032050F"/>
    <w:rsid w:val="0032092B"/>
    <w:rsid w:val="0032341C"/>
    <w:rsid w:val="003367D4"/>
    <w:rsid w:val="00341C7B"/>
    <w:rsid w:val="003445F0"/>
    <w:rsid w:val="00351281"/>
    <w:rsid w:val="003512CE"/>
    <w:rsid w:val="0035372E"/>
    <w:rsid w:val="00356049"/>
    <w:rsid w:val="003567B0"/>
    <w:rsid w:val="0035755F"/>
    <w:rsid w:val="00371136"/>
    <w:rsid w:val="00375378"/>
    <w:rsid w:val="00376B6E"/>
    <w:rsid w:val="00381263"/>
    <w:rsid w:val="00384570"/>
    <w:rsid w:val="00386E22"/>
    <w:rsid w:val="00391BF6"/>
    <w:rsid w:val="003926E6"/>
    <w:rsid w:val="00395DB4"/>
    <w:rsid w:val="003A4F66"/>
    <w:rsid w:val="003A6BAC"/>
    <w:rsid w:val="003B47CB"/>
    <w:rsid w:val="003B6D51"/>
    <w:rsid w:val="003C13BC"/>
    <w:rsid w:val="003D7B5E"/>
    <w:rsid w:val="003E21F0"/>
    <w:rsid w:val="003E2356"/>
    <w:rsid w:val="003F2C1A"/>
    <w:rsid w:val="003F43B4"/>
    <w:rsid w:val="003F5373"/>
    <w:rsid w:val="00406835"/>
    <w:rsid w:val="004149C6"/>
    <w:rsid w:val="00416823"/>
    <w:rsid w:val="00417C0A"/>
    <w:rsid w:val="00420EA8"/>
    <w:rsid w:val="00421141"/>
    <w:rsid w:val="00424EDD"/>
    <w:rsid w:val="00431FF3"/>
    <w:rsid w:val="00441E22"/>
    <w:rsid w:val="00443EC6"/>
    <w:rsid w:val="0044685F"/>
    <w:rsid w:val="004558A4"/>
    <w:rsid w:val="004606C7"/>
    <w:rsid w:val="0046248C"/>
    <w:rsid w:val="00466D65"/>
    <w:rsid w:val="004773B2"/>
    <w:rsid w:val="00492531"/>
    <w:rsid w:val="00492E16"/>
    <w:rsid w:val="004A6D20"/>
    <w:rsid w:val="004B071B"/>
    <w:rsid w:val="004C3D6F"/>
    <w:rsid w:val="004C3DDB"/>
    <w:rsid w:val="004C51C0"/>
    <w:rsid w:val="004C57CB"/>
    <w:rsid w:val="004C5A57"/>
    <w:rsid w:val="004C7D47"/>
    <w:rsid w:val="004F0EAB"/>
    <w:rsid w:val="004F78B0"/>
    <w:rsid w:val="00501D05"/>
    <w:rsid w:val="005139B4"/>
    <w:rsid w:val="005213A1"/>
    <w:rsid w:val="00522DB1"/>
    <w:rsid w:val="00536208"/>
    <w:rsid w:val="00543515"/>
    <w:rsid w:val="00546996"/>
    <w:rsid w:val="00550CD7"/>
    <w:rsid w:val="00551C0C"/>
    <w:rsid w:val="00554FD2"/>
    <w:rsid w:val="00555CCB"/>
    <w:rsid w:val="00564420"/>
    <w:rsid w:val="0056526C"/>
    <w:rsid w:val="00570C0B"/>
    <w:rsid w:val="0058147E"/>
    <w:rsid w:val="00585FED"/>
    <w:rsid w:val="00591FC9"/>
    <w:rsid w:val="00593551"/>
    <w:rsid w:val="005A0B8C"/>
    <w:rsid w:val="005A1BB6"/>
    <w:rsid w:val="005A5E9C"/>
    <w:rsid w:val="005C4B2A"/>
    <w:rsid w:val="005D24C3"/>
    <w:rsid w:val="005D74C6"/>
    <w:rsid w:val="005D7DDE"/>
    <w:rsid w:val="005E6C42"/>
    <w:rsid w:val="005F3B13"/>
    <w:rsid w:val="005F6191"/>
    <w:rsid w:val="0060082E"/>
    <w:rsid w:val="00603CF1"/>
    <w:rsid w:val="00613930"/>
    <w:rsid w:val="00616090"/>
    <w:rsid w:val="006233BF"/>
    <w:rsid w:val="0062637D"/>
    <w:rsid w:val="00630E11"/>
    <w:rsid w:val="00635188"/>
    <w:rsid w:val="00645290"/>
    <w:rsid w:val="00662184"/>
    <w:rsid w:val="00666291"/>
    <w:rsid w:val="006910DC"/>
    <w:rsid w:val="00696CD5"/>
    <w:rsid w:val="006A345B"/>
    <w:rsid w:val="006A7439"/>
    <w:rsid w:val="006B0F88"/>
    <w:rsid w:val="006C1ECD"/>
    <w:rsid w:val="006C376F"/>
    <w:rsid w:val="006D2600"/>
    <w:rsid w:val="006D5AB6"/>
    <w:rsid w:val="006F6A6C"/>
    <w:rsid w:val="00700EF0"/>
    <w:rsid w:val="00703557"/>
    <w:rsid w:val="00707847"/>
    <w:rsid w:val="0071029A"/>
    <w:rsid w:val="007124D5"/>
    <w:rsid w:val="00716174"/>
    <w:rsid w:val="00723F8B"/>
    <w:rsid w:val="00731658"/>
    <w:rsid w:val="00731B28"/>
    <w:rsid w:val="00732124"/>
    <w:rsid w:val="00734297"/>
    <w:rsid w:val="0075245C"/>
    <w:rsid w:val="007578ED"/>
    <w:rsid w:val="007633BE"/>
    <w:rsid w:val="00771F2F"/>
    <w:rsid w:val="007A4888"/>
    <w:rsid w:val="007B12F0"/>
    <w:rsid w:val="007C5B5D"/>
    <w:rsid w:val="007D0A5C"/>
    <w:rsid w:val="007D166D"/>
    <w:rsid w:val="007D1F4D"/>
    <w:rsid w:val="007D3221"/>
    <w:rsid w:val="007D545B"/>
    <w:rsid w:val="007D6BAB"/>
    <w:rsid w:val="007F4E20"/>
    <w:rsid w:val="007F599F"/>
    <w:rsid w:val="00805C5A"/>
    <w:rsid w:val="00806120"/>
    <w:rsid w:val="00830CC5"/>
    <w:rsid w:val="00833088"/>
    <w:rsid w:val="00833FD0"/>
    <w:rsid w:val="008410EE"/>
    <w:rsid w:val="00842713"/>
    <w:rsid w:val="00850279"/>
    <w:rsid w:val="00855E67"/>
    <w:rsid w:val="0085696E"/>
    <w:rsid w:val="00856AC8"/>
    <w:rsid w:val="00856C78"/>
    <w:rsid w:val="00860C5D"/>
    <w:rsid w:val="00865E4E"/>
    <w:rsid w:val="008668E6"/>
    <w:rsid w:val="0088284C"/>
    <w:rsid w:val="008845BE"/>
    <w:rsid w:val="00890744"/>
    <w:rsid w:val="00891DB0"/>
    <w:rsid w:val="008A35E2"/>
    <w:rsid w:val="008B2E2E"/>
    <w:rsid w:val="008B5F25"/>
    <w:rsid w:val="008C060E"/>
    <w:rsid w:val="008C5EE8"/>
    <w:rsid w:val="008E16A9"/>
    <w:rsid w:val="008E7D5C"/>
    <w:rsid w:val="008F75AB"/>
    <w:rsid w:val="009021AB"/>
    <w:rsid w:val="009112FD"/>
    <w:rsid w:val="00911B77"/>
    <w:rsid w:val="00914A57"/>
    <w:rsid w:val="00914F4C"/>
    <w:rsid w:val="009306A3"/>
    <w:rsid w:val="00931428"/>
    <w:rsid w:val="00935814"/>
    <w:rsid w:val="00941DA8"/>
    <w:rsid w:val="00945E90"/>
    <w:rsid w:val="009603C1"/>
    <w:rsid w:val="0096042E"/>
    <w:rsid w:val="0097746A"/>
    <w:rsid w:val="00977D95"/>
    <w:rsid w:val="00981D3B"/>
    <w:rsid w:val="00986949"/>
    <w:rsid w:val="00987040"/>
    <w:rsid w:val="00987CF7"/>
    <w:rsid w:val="00991249"/>
    <w:rsid w:val="00997A79"/>
    <w:rsid w:val="009A2E2A"/>
    <w:rsid w:val="009A53F9"/>
    <w:rsid w:val="009A789B"/>
    <w:rsid w:val="009B4B73"/>
    <w:rsid w:val="009B507D"/>
    <w:rsid w:val="009B6081"/>
    <w:rsid w:val="009C73F9"/>
    <w:rsid w:val="009D31D4"/>
    <w:rsid w:val="009D3289"/>
    <w:rsid w:val="009D7BA4"/>
    <w:rsid w:val="009E1908"/>
    <w:rsid w:val="009E2350"/>
    <w:rsid w:val="009E774B"/>
    <w:rsid w:val="009F7891"/>
    <w:rsid w:val="00A0004B"/>
    <w:rsid w:val="00A021A3"/>
    <w:rsid w:val="00A0522F"/>
    <w:rsid w:val="00A125EC"/>
    <w:rsid w:val="00A179DF"/>
    <w:rsid w:val="00A247A2"/>
    <w:rsid w:val="00A2602E"/>
    <w:rsid w:val="00A315CC"/>
    <w:rsid w:val="00A32C49"/>
    <w:rsid w:val="00A3627F"/>
    <w:rsid w:val="00A449AD"/>
    <w:rsid w:val="00A65416"/>
    <w:rsid w:val="00A6567A"/>
    <w:rsid w:val="00A6765B"/>
    <w:rsid w:val="00A74858"/>
    <w:rsid w:val="00A74EED"/>
    <w:rsid w:val="00A8500A"/>
    <w:rsid w:val="00A91995"/>
    <w:rsid w:val="00AA07CE"/>
    <w:rsid w:val="00AB09C2"/>
    <w:rsid w:val="00AB5BE6"/>
    <w:rsid w:val="00AC0097"/>
    <w:rsid w:val="00AC3D44"/>
    <w:rsid w:val="00AC55FF"/>
    <w:rsid w:val="00AC6584"/>
    <w:rsid w:val="00AC7AA8"/>
    <w:rsid w:val="00AD48D1"/>
    <w:rsid w:val="00AF37B2"/>
    <w:rsid w:val="00B005DA"/>
    <w:rsid w:val="00B00CB5"/>
    <w:rsid w:val="00B139DA"/>
    <w:rsid w:val="00B14870"/>
    <w:rsid w:val="00B14AC3"/>
    <w:rsid w:val="00B15596"/>
    <w:rsid w:val="00B16245"/>
    <w:rsid w:val="00B1745F"/>
    <w:rsid w:val="00B204B0"/>
    <w:rsid w:val="00B2153A"/>
    <w:rsid w:val="00B218D0"/>
    <w:rsid w:val="00B4652C"/>
    <w:rsid w:val="00B55649"/>
    <w:rsid w:val="00B60755"/>
    <w:rsid w:val="00B84B8C"/>
    <w:rsid w:val="00B90280"/>
    <w:rsid w:val="00B95256"/>
    <w:rsid w:val="00B96283"/>
    <w:rsid w:val="00BA2140"/>
    <w:rsid w:val="00BB019A"/>
    <w:rsid w:val="00BB6D81"/>
    <w:rsid w:val="00BB6FF8"/>
    <w:rsid w:val="00BC645F"/>
    <w:rsid w:val="00BF050E"/>
    <w:rsid w:val="00C10F9E"/>
    <w:rsid w:val="00C138E9"/>
    <w:rsid w:val="00C15798"/>
    <w:rsid w:val="00C16BAE"/>
    <w:rsid w:val="00C2155C"/>
    <w:rsid w:val="00C23476"/>
    <w:rsid w:val="00C23808"/>
    <w:rsid w:val="00C24880"/>
    <w:rsid w:val="00C24906"/>
    <w:rsid w:val="00C30437"/>
    <w:rsid w:val="00C30EA8"/>
    <w:rsid w:val="00C34AB3"/>
    <w:rsid w:val="00C423FA"/>
    <w:rsid w:val="00C44A29"/>
    <w:rsid w:val="00C46BCC"/>
    <w:rsid w:val="00C51CC1"/>
    <w:rsid w:val="00C56E24"/>
    <w:rsid w:val="00C6071D"/>
    <w:rsid w:val="00C71E88"/>
    <w:rsid w:val="00C71F4B"/>
    <w:rsid w:val="00C72179"/>
    <w:rsid w:val="00C7278E"/>
    <w:rsid w:val="00C74BDE"/>
    <w:rsid w:val="00C83F1B"/>
    <w:rsid w:val="00C921DF"/>
    <w:rsid w:val="00C94A70"/>
    <w:rsid w:val="00CA2B25"/>
    <w:rsid w:val="00CA69FC"/>
    <w:rsid w:val="00CC667A"/>
    <w:rsid w:val="00CD4488"/>
    <w:rsid w:val="00CD48E6"/>
    <w:rsid w:val="00CF0545"/>
    <w:rsid w:val="00CF7483"/>
    <w:rsid w:val="00D1679F"/>
    <w:rsid w:val="00D2226B"/>
    <w:rsid w:val="00D3750F"/>
    <w:rsid w:val="00D47468"/>
    <w:rsid w:val="00D54F4A"/>
    <w:rsid w:val="00D56832"/>
    <w:rsid w:val="00D62A71"/>
    <w:rsid w:val="00D63A2C"/>
    <w:rsid w:val="00D74ECC"/>
    <w:rsid w:val="00D77464"/>
    <w:rsid w:val="00D80F18"/>
    <w:rsid w:val="00D90B25"/>
    <w:rsid w:val="00D9632A"/>
    <w:rsid w:val="00DA61DE"/>
    <w:rsid w:val="00DB05EF"/>
    <w:rsid w:val="00DB0966"/>
    <w:rsid w:val="00DB388D"/>
    <w:rsid w:val="00DB56E6"/>
    <w:rsid w:val="00DC1E22"/>
    <w:rsid w:val="00DC43DA"/>
    <w:rsid w:val="00DC4572"/>
    <w:rsid w:val="00DD782C"/>
    <w:rsid w:val="00DD78C8"/>
    <w:rsid w:val="00DE36BD"/>
    <w:rsid w:val="00DE40A3"/>
    <w:rsid w:val="00DE63AB"/>
    <w:rsid w:val="00DF20C1"/>
    <w:rsid w:val="00DF25E6"/>
    <w:rsid w:val="00E0391E"/>
    <w:rsid w:val="00E10EF9"/>
    <w:rsid w:val="00E1273E"/>
    <w:rsid w:val="00E24460"/>
    <w:rsid w:val="00E2623C"/>
    <w:rsid w:val="00E34164"/>
    <w:rsid w:val="00E349F9"/>
    <w:rsid w:val="00E34B74"/>
    <w:rsid w:val="00E35133"/>
    <w:rsid w:val="00E46650"/>
    <w:rsid w:val="00E55248"/>
    <w:rsid w:val="00E558D1"/>
    <w:rsid w:val="00E74789"/>
    <w:rsid w:val="00E761C4"/>
    <w:rsid w:val="00E77595"/>
    <w:rsid w:val="00E813ED"/>
    <w:rsid w:val="00E87C93"/>
    <w:rsid w:val="00E9089A"/>
    <w:rsid w:val="00EA15AD"/>
    <w:rsid w:val="00EA7371"/>
    <w:rsid w:val="00EB24B4"/>
    <w:rsid w:val="00EB2F8A"/>
    <w:rsid w:val="00EB6DA5"/>
    <w:rsid w:val="00EB6DC3"/>
    <w:rsid w:val="00EB710A"/>
    <w:rsid w:val="00EC46D3"/>
    <w:rsid w:val="00ED3392"/>
    <w:rsid w:val="00EE6B0E"/>
    <w:rsid w:val="00EF4539"/>
    <w:rsid w:val="00F01B4F"/>
    <w:rsid w:val="00F060CA"/>
    <w:rsid w:val="00F10134"/>
    <w:rsid w:val="00F15E7A"/>
    <w:rsid w:val="00F1703D"/>
    <w:rsid w:val="00F17627"/>
    <w:rsid w:val="00F2573E"/>
    <w:rsid w:val="00F25FB8"/>
    <w:rsid w:val="00F276B2"/>
    <w:rsid w:val="00F360AA"/>
    <w:rsid w:val="00F36640"/>
    <w:rsid w:val="00F40D1B"/>
    <w:rsid w:val="00F47B3A"/>
    <w:rsid w:val="00F51390"/>
    <w:rsid w:val="00F5454C"/>
    <w:rsid w:val="00F600BE"/>
    <w:rsid w:val="00F62416"/>
    <w:rsid w:val="00F660A5"/>
    <w:rsid w:val="00F93F51"/>
    <w:rsid w:val="00FA164E"/>
    <w:rsid w:val="00FB5A39"/>
    <w:rsid w:val="00FB5E3F"/>
    <w:rsid w:val="00FC0244"/>
    <w:rsid w:val="00FC11C8"/>
    <w:rsid w:val="00FC3C11"/>
    <w:rsid w:val="00FD069F"/>
    <w:rsid w:val="00FD7F73"/>
    <w:rsid w:val="00FE44C5"/>
    <w:rsid w:val="00FF09A0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52A3C5"/>
  <w15:chartTrackingRefBased/>
  <w15:docId w15:val="{4F66687B-5307-475C-9703-10DCC5B2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28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next w:val="Corpodetexto"/>
    <w:qFormat/>
    <w:pPr>
      <w:widowControl w:val="0"/>
      <w:numPr>
        <w:numId w:val="1"/>
      </w:numPr>
      <w:suppressAutoHyphens/>
      <w:outlineLvl w:val="0"/>
    </w:pPr>
    <w:rPr>
      <w:b/>
      <w:bCs/>
      <w:kern w:val="1"/>
      <w:sz w:val="36"/>
      <w:szCs w:val="36"/>
      <w:lang w:eastAsia="zh-CN"/>
    </w:rPr>
  </w:style>
  <w:style w:type="paragraph" w:styleId="Ttulo2">
    <w:name w:val="heading 2"/>
    <w:next w:val="Corpodetexto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Ttulo3">
    <w:name w:val="heading 3"/>
    <w:next w:val="Corpodetexto"/>
    <w:qFormat/>
    <w:pPr>
      <w:widowControl w:val="0"/>
      <w:numPr>
        <w:ilvl w:val="2"/>
        <w:numId w:val="1"/>
      </w:numPr>
      <w:suppressAutoHyphens/>
      <w:spacing w:before="140"/>
      <w:outlineLvl w:val="2"/>
    </w:pPr>
    <w:rPr>
      <w:b/>
      <w:bCs/>
      <w:kern w:val="1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WW8Num2z1">
    <w:name w:val="WW8Num2z1"/>
    <w:rPr>
      <w:rFonts w:ascii="Symbol" w:hAnsi="Symbol" w:cs="Symbol"/>
      <w:lang w:val="pt-PT" w:eastAsia="en-US" w:bidi="ar-SA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acteresdenotaderodap">
    <w:name w:val="Caracteres de nota de rodapé"/>
  </w:style>
  <w:style w:type="character" w:customStyle="1" w:styleId="Refdenotaderodap1">
    <w:name w:val="Ref. de nota de rodapé1"/>
    <w:rPr>
      <w:vertAlign w:val="superscript"/>
    </w:rPr>
  </w:style>
  <w:style w:type="character" w:customStyle="1" w:styleId="ListLabel4">
    <w:name w:val="ListLabel 4"/>
    <w:rPr>
      <w:rFonts w:ascii="Arial" w:hAnsi="Arial" w:cs="Arial"/>
      <w:b/>
      <w:sz w:val="24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Fontepargpadro10">
    <w:name w:val="Fonte parág. padrão1"/>
  </w:style>
  <w:style w:type="character" w:customStyle="1" w:styleId="Refdenotaderodap10">
    <w:name w:val="Ref. de nota de rodapé1"/>
    <w:rPr>
      <w:vertAlign w:val="superscript"/>
    </w:rPr>
  </w:style>
  <w:style w:type="character" w:styleId="Hyperlink">
    <w:name w:val="Hyperlink"/>
    <w:rPr>
      <w:color w:val="0563C1"/>
      <w:u w:val="single"/>
    </w:rPr>
  </w:style>
  <w:style w:type="character" w:customStyle="1" w:styleId="WW-LinkdaInternet">
    <w:name w:val="WW-Link da Internet"/>
    <w:rPr>
      <w:color w:val="000080"/>
      <w:u w:val="single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Forte1">
    <w:name w:val="Forte1"/>
    <w:rPr>
      <w:b/>
      <w:bCs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st1">
    <w:name w:val="st1"/>
  </w:style>
  <w:style w:type="character" w:customStyle="1" w:styleId="ListLabel8">
    <w:name w:val="ListLabel 8"/>
    <w:rPr>
      <w:rFonts w:eastAsia="Times New Roman" w:cs="Times New Roman"/>
      <w:b/>
      <w:bCs/>
      <w:w w:val="100"/>
      <w:sz w:val="24"/>
      <w:szCs w:val="24"/>
      <w:lang w:val="pt-PT" w:bidi="ar-SA"/>
    </w:rPr>
  </w:style>
  <w:style w:type="character" w:customStyle="1" w:styleId="ListLabel9">
    <w:name w:val="ListLabel 9"/>
    <w:rPr>
      <w:lang w:val="pt-PT" w:bidi="ar-SA"/>
    </w:rPr>
  </w:style>
  <w:style w:type="character" w:customStyle="1" w:styleId="ListLabel10">
    <w:name w:val="ListLabel 10"/>
    <w:rPr>
      <w:lang w:val="pt-PT" w:bidi="ar-SA"/>
    </w:rPr>
  </w:style>
  <w:style w:type="character" w:customStyle="1" w:styleId="ListLabel11">
    <w:name w:val="ListLabel 11"/>
    <w:rPr>
      <w:lang w:val="pt-PT" w:bidi="ar-SA"/>
    </w:rPr>
  </w:style>
  <w:style w:type="character" w:customStyle="1" w:styleId="ListLabel12">
    <w:name w:val="ListLabel 12"/>
    <w:rPr>
      <w:lang w:val="pt-PT" w:bidi="ar-SA"/>
    </w:rPr>
  </w:style>
  <w:style w:type="character" w:customStyle="1" w:styleId="ListLabel13">
    <w:name w:val="ListLabel 13"/>
    <w:rPr>
      <w:lang w:val="pt-PT" w:bidi="ar-SA"/>
    </w:rPr>
  </w:style>
  <w:style w:type="character" w:customStyle="1" w:styleId="ListLabel14">
    <w:name w:val="ListLabel 14"/>
    <w:rPr>
      <w:lang w:val="pt-PT" w:bidi="ar-SA"/>
    </w:rPr>
  </w:style>
  <w:style w:type="character" w:customStyle="1" w:styleId="ListLabel15">
    <w:name w:val="ListLabel 15"/>
    <w:rPr>
      <w:lang w:val="pt-PT" w:bidi="ar-SA"/>
    </w:rPr>
  </w:style>
  <w:style w:type="character" w:customStyle="1" w:styleId="ListLabel16">
    <w:name w:val="ListLabel 16"/>
    <w:rPr>
      <w:lang w:val="pt-PT" w:bidi="ar-SA"/>
    </w:rPr>
  </w:style>
  <w:style w:type="character" w:customStyle="1" w:styleId="ListLabel17">
    <w:name w:val="ListLabel 17"/>
    <w:rPr>
      <w:rFonts w:eastAsia="SimSun" w:cs="Mang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SimSun" w:cs="Mangal"/>
      <w:b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sz w:val="24"/>
    </w:rPr>
  </w:style>
  <w:style w:type="character" w:customStyle="1" w:styleId="ListLabel26">
    <w:name w:val="ListLabel 26"/>
    <w:rPr>
      <w:sz w:val="24"/>
    </w:rPr>
  </w:style>
  <w:style w:type="character" w:customStyle="1" w:styleId="ListLabel27">
    <w:name w:val="ListLabel 27"/>
    <w:rPr>
      <w:sz w:val="24"/>
    </w:rPr>
  </w:style>
  <w:style w:type="character" w:customStyle="1" w:styleId="ListLabel28">
    <w:name w:val="ListLabel 28"/>
    <w:rPr>
      <w:sz w:val="24"/>
    </w:rPr>
  </w:style>
  <w:style w:type="character" w:customStyle="1" w:styleId="ListLabel29">
    <w:name w:val="ListLabel 29"/>
    <w:rPr>
      <w:sz w:val="24"/>
    </w:rPr>
  </w:style>
  <w:style w:type="character" w:customStyle="1" w:styleId="ListLabel30">
    <w:name w:val="ListLabel 30"/>
    <w:rPr>
      <w:sz w:val="24"/>
    </w:rPr>
  </w:style>
  <w:style w:type="character" w:customStyle="1" w:styleId="ListLabel31">
    <w:name w:val="ListLabel 31"/>
    <w:rPr>
      <w:sz w:val="24"/>
    </w:rPr>
  </w:style>
  <w:style w:type="character" w:customStyle="1" w:styleId="ListLabel32">
    <w:name w:val="ListLabel 32"/>
    <w:rPr>
      <w:sz w:val="24"/>
    </w:rPr>
  </w:style>
  <w:style w:type="character" w:customStyle="1" w:styleId="ListLabel33">
    <w:name w:val="ListLabel 33"/>
    <w:rPr>
      <w:sz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itaes">
    <w:name w:val="Citações"/>
    <w:basedOn w:val="Normal"/>
    <w:pPr>
      <w:spacing w:before="0" w:after="283"/>
      <w:ind w:left="567" w:right="567"/>
    </w:pPr>
  </w:style>
  <w:style w:type="paragraph" w:customStyle="1" w:styleId="WW-Ttulo">
    <w:name w:val="WW-Título"/>
    <w:basedOn w:val="Ttulo1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notaderodap1">
    <w:name w:val="Texto de nota de rodapé1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grafodaLista1">
    <w:name w:val="Parágrafo da Lista1"/>
    <w:basedOn w:val="Normal"/>
    <w:pPr>
      <w:spacing w:before="0" w:after="160"/>
      <w:ind w:left="720"/>
      <w:contextualSpacing/>
    </w:pPr>
  </w:style>
  <w:style w:type="paragraph" w:customStyle="1" w:styleId="Padro">
    <w:name w:val="Padrão"/>
    <w:pPr>
      <w:tabs>
        <w:tab w:val="left" w:pos="708"/>
      </w:tabs>
      <w:suppressAutoHyphens/>
      <w:spacing w:before="280" w:after="160" w:line="252" w:lineRule="auto"/>
    </w:pPr>
    <w:rPr>
      <w:rFonts w:ascii="Calibri" w:eastAsia="SimSun" w:hAnsi="Calibri" w:cs="Calibri"/>
      <w:color w:val="00000A"/>
      <w:kern w:val="1"/>
      <w:sz w:val="22"/>
      <w:szCs w:val="22"/>
      <w:lang w:eastAsia="zh-CN"/>
    </w:rPr>
  </w:style>
  <w:style w:type="paragraph" w:customStyle="1" w:styleId="Textodebalo1">
    <w:name w:val="Texto de balão1"/>
    <w:basedOn w:val="Normal"/>
    <w:pPr>
      <w:spacing w:before="0" w:after="0"/>
    </w:pPr>
    <w:rPr>
      <w:rFonts w:ascii="Segoe UI" w:hAnsi="Segoe UI" w:cs="Segoe UI"/>
      <w:sz w:val="18"/>
      <w:szCs w:val="16"/>
    </w:rPr>
  </w:style>
  <w:style w:type="paragraph" w:customStyle="1" w:styleId="PargrafodaLista2">
    <w:name w:val="Parágrafo da Lista2"/>
    <w:basedOn w:val="Normal"/>
    <w:pPr>
      <w:widowControl w:val="0"/>
      <w:spacing w:before="0" w:after="0"/>
      <w:ind w:left="596" w:hanging="361"/>
    </w:pPr>
    <w:rPr>
      <w:rFonts w:ascii="Times New Roman" w:eastAsia="Times New Roman" w:hAnsi="Times New Roman" w:cs="Times New Roman"/>
      <w:sz w:val="22"/>
      <w:szCs w:val="22"/>
      <w:lang w:val="pt-PT" w:bidi="ar-SA"/>
    </w:rPr>
  </w:style>
  <w:style w:type="paragraph" w:customStyle="1" w:styleId="Corpodetexto21">
    <w:name w:val="Corpo de texto 21"/>
    <w:basedOn w:val="Normal"/>
    <w:pPr>
      <w:spacing w:before="0" w:after="0" w:line="360" w:lineRule="auto"/>
      <w:jc w:val="both"/>
    </w:pPr>
  </w:style>
  <w:style w:type="character" w:customStyle="1" w:styleId="UnresolvedMention">
    <w:name w:val="Unresolved Mention"/>
    <w:uiPriority w:val="99"/>
    <w:semiHidden/>
    <w:unhideWhenUsed/>
    <w:rsid w:val="005C4B2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A3C4D"/>
    <w:pPr>
      <w:ind w:left="708"/>
    </w:pPr>
    <w:rPr>
      <w:szCs w:val="21"/>
    </w:rPr>
  </w:style>
  <w:style w:type="character" w:customStyle="1" w:styleId="fontstyle01">
    <w:name w:val="fontstyle01"/>
    <w:basedOn w:val="Fontepargpadro"/>
    <w:rsid w:val="00D167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167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F192A-4DEA-4927-830A-0DC0CBE0E2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Links>
    <vt:vector size="6" baseType="variant">
      <vt:variant>
        <vt:i4>7798811</vt:i4>
      </vt:variant>
      <vt:variant>
        <vt:i4>0</vt:i4>
      </vt:variant>
      <vt:variant>
        <vt:i4>0</vt:i4>
      </vt:variant>
      <vt:variant>
        <vt:i4>5</vt:i4>
      </vt:variant>
      <vt:variant>
        <vt:lpwstr>mailto:mobilizacao@sindireceita.org.br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Sales Rodrigues</dc:creator>
  <cp:keywords/>
  <cp:lastModifiedBy>Conta da Microsoft</cp:lastModifiedBy>
  <cp:revision>2</cp:revision>
  <cp:lastPrinted>2024-12-08T00:28:00Z</cp:lastPrinted>
  <dcterms:created xsi:type="dcterms:W3CDTF">2025-11-03T01:01:00Z</dcterms:created>
  <dcterms:modified xsi:type="dcterms:W3CDTF">2025-11-03T01:01:00Z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